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2268"/>
        <w:gridCol w:w="851"/>
        <w:gridCol w:w="283"/>
        <w:gridCol w:w="1869"/>
        <w:gridCol w:w="1691"/>
        <w:gridCol w:w="921"/>
        <w:gridCol w:w="2111"/>
        <w:gridCol w:w="886"/>
      </w:tblGrid>
      <w:tr w:rsidR="005457D9" w:rsidRPr="005457D9" w:rsidTr="005457D9">
        <w:trPr>
          <w:trHeight w:val="255"/>
        </w:trPr>
        <w:tc>
          <w:tcPr>
            <w:tcW w:w="226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Level</w:t>
            </w:r>
          </w:p>
        </w:tc>
        <w:tc>
          <w:tcPr>
            <w:tcW w:w="851"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3560"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Provinsi Sumatera Selatan</w:t>
            </w:r>
          </w:p>
        </w:tc>
        <w:tc>
          <w:tcPr>
            <w:tcW w:w="921"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111"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886"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226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Komponen</w:t>
            </w:r>
          </w:p>
        </w:tc>
        <w:tc>
          <w:tcPr>
            <w:tcW w:w="851"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3560"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C. Kelompok Masyarakat Sipil</w:t>
            </w:r>
          </w:p>
        </w:tc>
        <w:tc>
          <w:tcPr>
            <w:tcW w:w="921"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111"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886"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226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851"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86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91"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921"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2111"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886"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3402" w:type="dxa"/>
            <w:gridSpan w:val="3"/>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Isu dalam PGA REDD+</w:t>
            </w:r>
          </w:p>
        </w:tc>
        <w:tc>
          <w:tcPr>
            <w:tcW w:w="6592" w:type="dxa"/>
            <w:gridSpan w:val="4"/>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xml:space="preserve">:  I. Perencanaan Kehutanan dan Tata Ruang </w:t>
            </w:r>
          </w:p>
        </w:tc>
        <w:tc>
          <w:tcPr>
            <w:tcW w:w="886"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226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851"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5457D9" w:rsidRPr="005457D9" w:rsidTr="005457D9">
        <w:trPr>
          <w:trHeight w:val="255"/>
        </w:trPr>
        <w:tc>
          <w:tcPr>
            <w:tcW w:w="3119"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6592" w:type="dxa"/>
            <w:gridSpan w:val="4"/>
            <w:tcBorders>
              <w:top w:val="nil"/>
              <w:left w:val="nil"/>
              <w:bottom w:val="nil"/>
              <w:right w:val="nil"/>
            </w:tcBorders>
            <w:shd w:val="clear" w:color="auto" w:fill="auto"/>
            <w:noWrap/>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886"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1139"/>
        <w:gridCol w:w="1478"/>
        <w:gridCol w:w="1609"/>
        <w:gridCol w:w="1054"/>
        <w:gridCol w:w="1246"/>
        <w:gridCol w:w="1192"/>
        <w:gridCol w:w="1785"/>
        <w:gridCol w:w="1382"/>
      </w:tblGrid>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CIa1</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Kehutanan</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documen terkait pelibatanLSM dalam penyusunan perencanaan wilayah dan kehutanan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tahu apakah melibatkan LSM atau karena memang tidak ada aturannya harus melibatkan LSM</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322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PU</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documen erkait pelibatan LSM dalam penyusunan perencanaan wilayah dan kehutanan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Di sumsel ada dua NGO yang konsen dibidang isu lingkungan yaitu Walhi dan Wahana Bumi Hijau. Mereka biasanya memberikan informasi yang bersifat monitoring (pengawasan) terkait  fakta lain dilapangan. Tujuannya untuk penyempurnaan peraturan / kebijakan pemda. Selain itu juga ada dukungan dari donor luar seperti GIZ (jerman), CER (inggris), Waqlimat (Belanda). Juga ada REKI (Restorasi Ekosistem Indonesia)</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255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000000" w:fill="FFFFFF"/>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 xml:space="preserve">tidak ada dokumen  dari LSM terkait masukan LSM untuk masukan perencanaan wilayah dan kehutanan karena </w:t>
            </w:r>
            <w:r w:rsidRPr="005457D9">
              <w:rPr>
                <w:rFonts w:ascii="Times New Roman" w:eastAsia="Times New Roman" w:hAnsi="Times New Roman" w:cs="Times New Roman"/>
                <w:sz w:val="20"/>
                <w:szCs w:val="20"/>
                <w:lang w:eastAsia="id-ID"/>
              </w:rPr>
              <w:lastRenderedPageBreak/>
              <w:t>ketiadaan data</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1</w:t>
            </w:r>
          </w:p>
        </w:tc>
        <w:tc>
          <w:tcPr>
            <w:tcW w:w="1785" w:type="dxa"/>
            <w:tcBorders>
              <w:top w:val="nil"/>
              <w:left w:val="nil"/>
              <w:bottom w:val="single" w:sz="4" w:space="0" w:color="auto"/>
              <w:right w:val="single" w:sz="4" w:space="0" w:color="auto"/>
            </w:tcBorders>
            <w:shd w:val="clear" w:color="000000" w:fill="FFFFFF"/>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 xml:space="preserve">LSM selalu dilibatkan untuk memberi masukan. Kita pernah diberi kuesioner terkait tata ruang dan kita isi. Tapi kita hanya sekali dilibatkan. Jadi kalau Dishut punya kegiatan 6 x, paling kita Cuma </w:t>
            </w:r>
            <w:r w:rsidRPr="005457D9">
              <w:rPr>
                <w:rFonts w:ascii="Times New Roman" w:eastAsia="Times New Roman" w:hAnsi="Times New Roman" w:cs="Times New Roman"/>
                <w:sz w:val="20"/>
                <w:szCs w:val="20"/>
                <w:lang w:eastAsia="id-ID"/>
              </w:rPr>
              <w:lastRenderedPageBreak/>
              <w:t>satu kali dilibatkan. Dan itu hanya sekedar formalitas. mungkin kalau isu konservasi lebih banyak ke WBH ya, karena Walhi lebih fokus ke isu advokasi dan sosialisasi</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2</w:t>
            </w:r>
          </w:p>
        </w:tc>
      </w:tr>
      <w:tr w:rsidR="005457D9" w:rsidRPr="005457D9" w:rsidTr="005457D9">
        <w:trPr>
          <w:trHeight w:val="204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document yang diberikan dari akademisi terkait pelibatan LSM dalam masukan penyusunan perencanaan wilayah dan kehutanan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 xml:space="preserve">Ada Walhi, Wahana Bumi Hijau Kesmada dan AMAN yang selama ini aktif terlibat dalam memberikan masukan perencanaan wilayah. </w:t>
            </w:r>
            <w:r w:rsidRPr="005457D9">
              <w:rPr>
                <w:rFonts w:ascii="Times New Roman" w:eastAsia="Times New Roman" w:hAnsi="Times New Roman" w:cs="Times New Roman"/>
                <w:sz w:val="20"/>
                <w:szCs w:val="20"/>
                <w:lang w:eastAsia="id-ID"/>
              </w:rPr>
              <w:br/>
              <w:t xml:space="preserve">Secara umum REDD+ di sumsel baru dimulai, RAD masih mau disusun. Jadi belum ada perencanaan.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382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Jurnalis</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untuk document pemberitaan terkait pelibatan LSM dalam penyusunan dan perencanaan wilayah kehutanan, bisa dicek langsung kepada pemberitaan media koran Sumatera Ekpress (SUMEX) </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yang paling menonjol adalah wahana bumi hijau dan Walhi. Secara kapasitas cukup bagus. Tapi untuk wahana bumi hijau kurang begitu terdengar suaranya.  Walhi focus ke advokasi. </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Kalau dari segi konten. Mereka sudah cukup bagus dan menguasai informasi, mengangkat isu dan mengartikulasikan. Untuk pada sisi perencanaan, belum ada usulan LSM yang bisa di implementasikan kecuali untuk taman nasional sembilang (berdasarkan usulan LSM)</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153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CIa2</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Kehutanan</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fieldnote; pertanyaan soal keterlibatan LSM kepada dinas kehutanan menjadi tidak relevan karena sejak awal dinyatakan tidak terlibat dalam penyusunan perencanana wilayah kehutanan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tahu persis, LSM pernah memberikan masukan</w:t>
            </w:r>
          </w:p>
        </w:tc>
        <w:tc>
          <w:tcPr>
            <w:tcW w:w="1382" w:type="dxa"/>
            <w:tcBorders>
              <w:top w:val="nil"/>
              <w:left w:val="nil"/>
              <w:bottom w:val="single" w:sz="4" w:space="0" w:color="auto"/>
              <w:right w:val="single" w:sz="4" w:space="0" w:color="auto"/>
            </w:tcBorders>
            <w:shd w:val="clear" w:color="000000" w:fill="FFFFFF"/>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204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PU</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document yang diberikan terkait materi LSM yang disampaikan padapenyusunan perencanaan wilayah dan kehutanan, karena kewenangan perencanaan tata ruang ada di bappeda bukan di PU</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Secara subtansi, apa yang disampaikan oleh NGO dianggap memadai,karena mereka juga sudah membaca draft RTRW. tapi secara personal anggota kedua NGO tersebut yang turun ke daerah untuk mengadvokasi dianggap masih kurang.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4</w:t>
            </w:r>
          </w:p>
        </w:tc>
      </w:tr>
      <w:tr w:rsidR="005457D9" w:rsidRPr="005457D9" w:rsidTr="005457D9">
        <w:trPr>
          <w:trHeight w:val="255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documen yang diberikan dari LSM terkait materi yang disampaikan LSM dalam pembahasan perencanaan wilayah.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biasanya soal penetapan desa jadi kawasan hutan. Tapi LSM merasa masukannya kurang terakomodir. Kita ingin RTH jangan dibangun GOR, malah dibangun GOR. Dan kasus itu sekarang masih berjalan karena belum ada izin dari DPRD. Kalau mereka mengakomodir masukan dari LSM, seharusnya kasus-kasus yang terkait dengan sengketa kawasan tidak terjadi lagi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331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document yang diterma dari akademisi, karena posisinya mereka bukan ketua tim REDD, hanya sebatas inisiasi awal REDD untuk selanjutnya dikelola oleh Dinas Kehutanan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Materi yang disampaikan terkait pengembalian hak masyarakat local/adat. Mereka ingin agar lahan hutan kota di sumsel seperti sedia kala.  Secara kapasitas, mereka sangat memadai dalam arti menguasai dan faham dengan isu isu perencanaan wilayah . disini juga ada factor kapitalisme yaitu dimana HGU seringkali meminggirkan orang/masyarakat adat local. Oleh sebab itu mereka minta agar HGU juga memprioritaskan komunitas masyarakat adat/local. </w:t>
            </w:r>
          </w:p>
        </w:tc>
        <w:tc>
          <w:tcPr>
            <w:tcW w:w="1382"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229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Jurnalis</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untuk document pemberitaan terkait materi yang disampaikan LSM dalam penyusunan dan perencanaan wilayah kehutanan, bisa dicek langsung kepada pemberitaan media koran Sumatera Ekpress (SUMEX) </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Untuk advokasi banyak disuarakan walhi, tapi tanpa didukung oleh perencanaan yang matang, dimana step by step tidak begitu riel, sehingga pesannya hanya kampanye dalam jumlah massa besar. </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r>
          </w:p>
        </w:tc>
        <w:tc>
          <w:tcPr>
            <w:tcW w:w="1382" w:type="dxa"/>
            <w:tcBorders>
              <w:top w:val="nil"/>
              <w:left w:val="nil"/>
              <w:bottom w:val="single" w:sz="4" w:space="0" w:color="auto"/>
              <w:right w:val="single" w:sz="4" w:space="0" w:color="auto"/>
            </w:tcBorders>
            <w:shd w:val="clear" w:color="000000" w:fill="FFFFFF"/>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5277" w:type="dxa"/>
            <w:gridSpan w:val="4"/>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CIb1</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Kehutanan</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 xml:space="preserve">tidak ada documen terkait pelibatan akademisi dalam penyusunan perencanaan wilayah dan kehutanan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Jumlah akademisi yang terlibat dalam penyusunan perencanaan wilayah dan tata ruang antara lain dari IPB, Unsri dan UMP.  </w:t>
            </w:r>
          </w:p>
        </w:tc>
        <w:tc>
          <w:tcPr>
            <w:tcW w:w="1382"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204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PU</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 xml:space="preserve">tidak ada documen  terkait masukan akademisi soal perencanaan wilayah kehutanan karena ketiadaan data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Di sumsel, untuk akademisi ada sekitar 5-10 orang teman2 dosen Unsri dan UMP (Universitas Muhammadiyah Palembang) yang terlibat dan sering memberikan masukan terkait perencanaan wilayah dan kehutanan. Kita juga mengundang konsultan dari luar semisal dari IPB, ITB untuk menyusun perencanaan wilayah</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153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 xml:space="preserve">tidak ada documen terkait masukan perencanaan wilayah kehutanan karena ketiadaan data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Kami tidak tahu banyak ada berapa akademisi disini yang terlibat dalam perencanaan wilayah dan kehutanan. Tapi memang kampus dilibatkan karena mungkin cara pandang kampus lebih bisa diterima oleh kalangan birokrat</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229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 xml:space="preserve">tidak ada data dari akademisi soal data jumlah akademisi yang memberi masukan soal perencanana wilayah dan kehutanan karena ketiadaan data </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Ada 4-5 orang dari kalangan akademisi yang selama ini aktif terlibat dalam penyusunan tata ruang, mereka berasal dari Universitas Sriwijaya (Unsri), UMP (Universtias Muhammadiyah Palembang), STIPER (Sekolah Tinggi Ilmu Pertanian). Mereka dimintai masukan terkait tata ruang. </w:t>
            </w:r>
            <w:r w:rsidRPr="005457D9">
              <w:rPr>
                <w:rFonts w:ascii="Times New Roman" w:eastAsia="Times New Roman" w:hAnsi="Times New Roman" w:cs="Times New Roman"/>
                <w:color w:val="000000"/>
                <w:sz w:val="20"/>
                <w:szCs w:val="20"/>
                <w:lang w:eastAsia="id-ID"/>
              </w:rPr>
              <w:lastRenderedPageBreak/>
              <w:t xml:space="preserve">Dilibatkan dalam kegiatan konsultasi publik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3</w:t>
            </w:r>
          </w:p>
        </w:tc>
      </w:tr>
      <w:tr w:rsidR="005457D9" w:rsidRPr="005457D9" w:rsidTr="005457D9">
        <w:trPr>
          <w:trHeight w:val="204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CIb2</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Kehutanan</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tidak ada documen yang diberikan dari kehutanan soal materi yang disampaikan akademisi terkait perencanaan wilayah dan kehutanan karena ketiadaan data document</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Dari segi materi, sudah cukup memadai. Materi yang disampaikan biasanya dari aspek kemasyarakatan, aspek hokum, lingkungan dan social budaya. Mesk demikian masukan mereka dibatasi oleh yuridiksi kita. Data yang kita berikan kepada mereka, ada diskusi tidak hanya segi teori tapi juga aspek prakteknya</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255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PU</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 xml:space="preserve">tidak ada document dari PU terkait materi yang disampaikan oleh akademisi dalam perencanana wilayah dan kehutanan karena ketiadaan data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Secara materi, mereka focus kepada konservasinya  seperti rawa gambut, agar tetap di konservasi menjadi daerah resapan. Selain itu jatah untuk RTH (Ruang Tata Hijau) juga menjadi perhatiannya. Yang kita merasa agak kurang (dari masukan akademisi) adalah penataan ruang wilayah pesisir, karena memang itu domainnya dinas kelautan dan perikanan.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204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 xml:space="preserve">tidak ada data i LSM soal materi yang disampaikan akademisi soal perencanana wilayah dan kehutanan karena </w:t>
            </w:r>
            <w:r w:rsidRPr="005457D9">
              <w:rPr>
                <w:rFonts w:ascii="Times New Roman" w:eastAsia="Times New Roman" w:hAnsi="Times New Roman" w:cs="Times New Roman"/>
                <w:sz w:val="20"/>
                <w:szCs w:val="20"/>
                <w:lang w:eastAsia="id-ID"/>
              </w:rPr>
              <w:lastRenderedPageBreak/>
              <w:t xml:space="preserve">ketiadaan data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1</w:t>
            </w: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Dari segi materi, sudah cukup memadai. Materi yang disampaikan biasanya dari aspek kemasyarakatan, aspek hokum, lingkungan dan social budaya. Mesk demikian masukan mereka </w:t>
            </w:r>
            <w:r w:rsidRPr="005457D9">
              <w:rPr>
                <w:rFonts w:ascii="Times New Roman" w:eastAsia="Times New Roman" w:hAnsi="Times New Roman" w:cs="Times New Roman"/>
                <w:color w:val="000000"/>
                <w:sz w:val="20"/>
                <w:szCs w:val="20"/>
                <w:lang w:eastAsia="id-ID"/>
              </w:rPr>
              <w:lastRenderedPageBreak/>
              <w:t>dibatasi oleh yuridiksi kita. Data yang kita berikan kepada mereka, ada diskusi tidak hanya segi teori tapi juga aspek prakteknya</w:t>
            </w:r>
          </w:p>
        </w:tc>
        <w:tc>
          <w:tcPr>
            <w:tcW w:w="1382"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3</w:t>
            </w:r>
          </w:p>
        </w:tc>
      </w:tr>
      <w:tr w:rsidR="005457D9" w:rsidRPr="005457D9" w:rsidTr="005457D9">
        <w:trPr>
          <w:trHeight w:val="331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 xml:space="preserve">tidak ada document yangakademisi soal materi yang disampaikan dalam pembahasan perencanaan tata ruang wilayah dan kehutanan karena ketiadaan data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Materi yang disampaikan terkait pengembalian hak masyarakat local/adat. Mereka ingin agar lahan hutan kota di sumsel seperti sedia kala.  Secara kapasitas, mereka sangat memadai dalam arti menguasai dan faham dengan isu isu perencanaan wilayah . disini juga ada factor kapitalisme yaitu dimana HGU seringkali meminggirkan orang/masyarakat adat local. Oleh sebab itu mereka minta agar HGU juga memprioritaskan komunitas masyarakat adat/local.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r>
      <w:tr w:rsidR="005457D9" w:rsidRPr="005457D9" w:rsidTr="005457D9">
        <w:trPr>
          <w:trHeight w:val="690"/>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5457D9">
              <w:rPr>
                <w:rFonts w:ascii="Times New Roman" w:eastAsia="Times New Roman" w:hAnsi="Times New Roman" w:cs="Times New Roman"/>
                <w:b/>
                <w:bCs/>
                <w:color w:val="000000"/>
                <w:sz w:val="20"/>
                <w:szCs w:val="20"/>
                <w:lang w:eastAsia="id-ID"/>
              </w:rPr>
              <w:br/>
              <w:t xml:space="preserve">       </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5277" w:type="dxa"/>
            <w:gridSpan w:val="4"/>
            <w:tcBorders>
              <w:top w:val="nil"/>
              <w:left w:val="nil"/>
              <w:bottom w:val="nil"/>
              <w:right w:val="nil"/>
            </w:tcBorders>
            <w:shd w:val="clear" w:color="auto" w:fill="auto"/>
            <w:noWrap/>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25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CIc1</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Jumlah kelompok masyarakat </w:t>
            </w:r>
            <w:r w:rsidRPr="005457D9">
              <w:rPr>
                <w:rFonts w:ascii="Times New Roman" w:eastAsia="Times New Roman" w:hAnsi="Times New Roman" w:cs="Times New Roman"/>
                <w:color w:val="000000"/>
                <w:sz w:val="20"/>
                <w:szCs w:val="20"/>
                <w:lang w:eastAsia="id-ID"/>
              </w:rPr>
              <w:lastRenderedPageBreak/>
              <w:t>sipil yang menunjukkan kepada publik penyimpangan prosedur dan potensi kerugian masyarakat akibat perencanaan wilayah dan kehutanan secara konsisten</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 xml:space="preserve">Apakah jumlah kelompok masya-rakat sipil </w:t>
            </w:r>
            <w:r w:rsidRPr="005457D9">
              <w:rPr>
                <w:rFonts w:ascii="Times New Roman" w:eastAsia="Times New Roman" w:hAnsi="Times New Roman" w:cs="Times New Roman"/>
                <w:color w:val="000000"/>
                <w:sz w:val="20"/>
                <w:szCs w:val="20"/>
                <w:lang w:eastAsia="id-ID"/>
              </w:rPr>
              <w:lastRenderedPageBreak/>
              <w:t>yang menunjukkan kepada publik penyimpangan prosedur dan potensi kerugian masyarakat akibat perencanaan wilayah dan kehutanan secara konsisten,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Kehutanan</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Infroman tidak tahu soal pelibatan LSM</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306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PU</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Biasanya Walhi dan Bumi Hijau yang sering melakukan advokasi terkait penyimpangan prosedur terkait perencanaan wilayah. Yang pernah dilakukan oleh kedua NGO tersebut diantaranya advokasi terhadap kolam resapan air yang terjadi pada pembangunan GOR atau yagn sekarang disebut PSC(Palembang Sport Centre). Mereka menuntut agar hati hati dalam perencanaanya terkait resapan air. Dan itu diakomodir oleh pengemban.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153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selama ini pemerintah tidak transparan terkait perencanaan wilayah dan kehutanan  sehingga walhi tidak tahu apakah ada penyimpangan atau tidak?? Seperti kasus HGU di PTPN VII205 ribu tidak ada izinnya.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229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Secara kuantitatif, Teman2 LSM/NGO yang terlibat kegiatan advokasi masyarakat terkait penyimpangan prosedur dan potensi kerugian akibat perencanaan wilayah, sudah cukup memadai.  Kalau pada level provinsi, mereka sudah sangat mampu dan bisa diandalkan. Tapi kalau tingkat kabupaten, biasanya sangat kurang </w:t>
            </w:r>
            <w:r w:rsidRPr="005457D9">
              <w:rPr>
                <w:rFonts w:ascii="Times New Roman" w:eastAsia="Times New Roman" w:hAnsi="Times New Roman" w:cs="Times New Roman"/>
                <w:color w:val="000000"/>
                <w:sz w:val="20"/>
                <w:szCs w:val="20"/>
                <w:lang w:eastAsia="id-ID"/>
              </w:rPr>
              <w:lastRenderedPageBreak/>
              <w:t>(kemampuannya</w:t>
            </w:r>
          </w:p>
        </w:tc>
        <w:tc>
          <w:tcPr>
            <w:tcW w:w="1382"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3</w:t>
            </w:r>
          </w:p>
        </w:tc>
      </w:tr>
      <w:tr w:rsidR="005457D9" w:rsidRPr="005457D9" w:rsidTr="005457D9">
        <w:trPr>
          <w:trHeight w:val="102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Jurnalis</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silahkan di cek dikoran SUMEK (Sumatera Ekpress)</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Pendampingan banyak dilakukan Walhi, tapi kurang didukung perencanaan hasilnya tidak jelas. Isu yang dibawa sangat gradual</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CIc2</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Kehutanan</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kehutanan sejak awal menyatakan tidak ada pelibatan LSM, jadi pertanyaan tidakrelevan</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153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PU</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Kemampuan tersebut dilakukan oleh Walhi dan Bumi Hijau dalam mengadvokasi kasus kolam resapan pembangunan PSCC, mengingatkan perlunya ada kuota RTH 30% dari tata ruang wilayah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51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 merasakesulitan untuk mengakses data. Ada kekurang terbukaan dari pemda</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229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Secara kuantitatif, Teman2 LSM/NGO yang terlibat kegiatan advokasi masyarakat terkait penyimpangan prosedur dan potensi kerugian akibat perencanaan wilayah, sudah cukup memadai.  Kalau pada level provinsi, mereka sudah sangat mampu dan bisa diandalkan. Tapi kalau tingkat kabupaten, </w:t>
            </w:r>
            <w:r w:rsidRPr="005457D9">
              <w:rPr>
                <w:rFonts w:ascii="Times New Roman" w:eastAsia="Times New Roman" w:hAnsi="Times New Roman" w:cs="Times New Roman"/>
                <w:color w:val="000000"/>
                <w:sz w:val="20"/>
                <w:szCs w:val="20"/>
                <w:lang w:eastAsia="id-ID"/>
              </w:rPr>
              <w:lastRenderedPageBreak/>
              <w:t>biasanya sangat kurang (kemampuannya)</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3</w:t>
            </w:r>
          </w:p>
        </w:tc>
      </w:tr>
      <w:tr w:rsidR="005457D9" w:rsidRPr="005457D9" w:rsidTr="005457D9">
        <w:trPr>
          <w:trHeight w:val="102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Jurnalis</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Pendampingan banyak dilakukan Walhi, tapi kurang didukung perencanaan hasilnya tidak jelas. Isu yang dibawa sangat gradual</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r>
      <w:tr w:rsidR="005457D9" w:rsidRPr="005457D9" w:rsidTr="005457D9">
        <w:trPr>
          <w:trHeight w:val="360"/>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6659" w:type="dxa"/>
            <w:gridSpan w:val="5"/>
            <w:tcBorders>
              <w:top w:val="nil"/>
              <w:left w:val="nil"/>
              <w:bottom w:val="single" w:sz="4" w:space="0" w:color="auto"/>
              <w:right w:val="nil"/>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5457D9">
              <w:rPr>
                <w:rFonts w:ascii="Times New Roman" w:eastAsia="Times New Roman" w:hAnsi="Times New Roman" w:cs="Times New Roman"/>
                <w:b/>
                <w:bCs/>
                <w:color w:val="000000"/>
                <w:sz w:val="20"/>
                <w:szCs w:val="20"/>
                <w:lang w:eastAsia="id-ID"/>
              </w:rPr>
              <w:br/>
            </w: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CId1</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Kehutanan</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pertanyaan tidak relevan karena sejak awal kehutanan mengaku tidak ada pelibatan LSM</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non scoring</w:t>
            </w:r>
          </w:p>
        </w:tc>
      </w:tr>
      <w:tr w:rsidR="005457D9" w:rsidRPr="005457D9" w:rsidTr="005457D9">
        <w:trPr>
          <w:trHeight w:val="204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PU</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Kegiatan dilakukan wahana bumi hijau atau jaringan LSM yang tergabung dalam forum WALHI, secara teratur melakukan advokasi masyarakat terkait kasus resapan air, ada pertemuan dan diskusi dengan warga. Aksi demo dan penyampaian pernyatana sikap kepada pemerintah dan masyarakat</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255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Walhi ada 15 orang tenaga pemetaan, dan tiap desa ada  2 orang dari Walhi. Desa yang harus dipetakan sangat banyak dan jauh sehingga sangat susah untuk menjangkauanya. Untuk WBH juga pernah mengadakan pelatihan pemetaan di Bayung Lencir Musi Banyuasin dengan peserta 71 orang dari tokoh perwakilan lembaga desa, pemerintahan desa, tokoh masyarakat dusun. </w:t>
            </w:r>
          </w:p>
        </w:tc>
        <w:tc>
          <w:tcPr>
            <w:tcW w:w="1382" w:type="dxa"/>
            <w:tcBorders>
              <w:top w:val="nil"/>
              <w:left w:val="nil"/>
              <w:bottom w:val="single" w:sz="4" w:space="0" w:color="auto"/>
              <w:right w:val="single" w:sz="4" w:space="0" w:color="auto"/>
            </w:tcBorders>
            <w:shd w:val="clear" w:color="000000" w:fill="FFFFFF"/>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484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Organisasi Masyarakat Adat Lokal</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documen yang diberikan karena ketiadaan data </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Untuk AMAN ada BRWA = Badan Registrasi wilayah adat. Pendekatannya dilakukan secara partisipastif dengan melibatkan tokoh tokoh adat. </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Program ini lebih kepada kebutuhan internal AMAN, jadi masih belum dikomunikasikan bagaimana kemudian menjadi advokasi masyarakat. Ini yang masih belum ketemu. Akan tetapi kedepannya AMAN ingin agar ada korelasi dengan kebutuhan advokasi dengan hasil pemetaan AMAN</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Tujuannya untuk menentukan batas batas wilayah adat, yang seringkali bertabrakan dengan batas batas wilayah yang ditentukan oleh Negara.</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229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documen yang diberikan karena ketiadaan data </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Secara kuantitatif, Teman2 LSM/NGO yang terlibat kegiatan advokasi masyarakat terkait penyimpangan prosedur dan potensi kerugian akibat perencanaan wilayah, sudah cukup memadai.  Kalau pada level provinsi, mereka sudah sangat mampu dan bisa diandalkan. Tapi kalau tingkat kabupaten, biasanya sangat kurang (kemampuannya)</w:t>
            </w:r>
          </w:p>
        </w:tc>
        <w:tc>
          <w:tcPr>
            <w:tcW w:w="1382" w:type="dxa"/>
            <w:tcBorders>
              <w:top w:val="nil"/>
              <w:left w:val="nil"/>
              <w:bottom w:val="single" w:sz="4" w:space="0" w:color="auto"/>
              <w:right w:val="single" w:sz="4" w:space="0" w:color="auto"/>
            </w:tcBorders>
            <w:shd w:val="clear" w:color="000000" w:fill="FFFFFF"/>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102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Jurnalis</w:t>
            </w:r>
          </w:p>
        </w:tc>
        <w:tc>
          <w:tcPr>
            <w:tcW w:w="1246" w:type="dxa"/>
            <w:tcBorders>
              <w:top w:val="nil"/>
              <w:left w:val="nil"/>
              <w:bottom w:val="single" w:sz="4" w:space="0" w:color="auto"/>
              <w:right w:val="single" w:sz="4" w:space="0" w:color="auto"/>
            </w:tcBorders>
            <w:shd w:val="clear" w:color="000000" w:fill="FFFFFF"/>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silahkan di cek dikoran SUMEK (Sumatera Ekpress)</w:t>
            </w:r>
          </w:p>
        </w:tc>
        <w:tc>
          <w:tcPr>
            <w:tcW w:w="1192" w:type="dxa"/>
            <w:tcBorders>
              <w:top w:val="nil"/>
              <w:left w:val="nil"/>
              <w:bottom w:val="single" w:sz="4" w:space="0" w:color="auto"/>
              <w:right w:val="single" w:sz="4" w:space="0" w:color="auto"/>
            </w:tcBorders>
            <w:shd w:val="clear" w:color="000000" w:fill="FFFFFF"/>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melihat keberhasilan pendampingan NGO terhadap masyarakat dalam melakukan pemetaan wilayah. Kinerja LSM tidak riel dirasakan masyarakat </w:t>
            </w:r>
          </w:p>
        </w:tc>
        <w:tc>
          <w:tcPr>
            <w:tcW w:w="1382"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CId2</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Kehutanan</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documen yang diberikan karena ketiadaan data karena sejak awal LSM tidad dilibatkan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single" w:sz="4" w:space="0" w:color="auto"/>
              <w:left w:val="nil"/>
              <w:bottom w:val="single" w:sz="4" w:space="0" w:color="auto"/>
              <w:right w:val="single" w:sz="4" w:space="0" w:color="auto"/>
            </w:tcBorders>
            <w:shd w:val="clear" w:color="000000" w:fill="FFFFFF"/>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pelibatan LSM</w:t>
            </w:r>
          </w:p>
        </w:tc>
        <w:tc>
          <w:tcPr>
            <w:tcW w:w="1382" w:type="dxa"/>
            <w:tcBorders>
              <w:top w:val="nil"/>
              <w:left w:val="nil"/>
              <w:bottom w:val="single" w:sz="4" w:space="0" w:color="auto"/>
              <w:right w:val="single" w:sz="4" w:space="0" w:color="auto"/>
            </w:tcBorders>
            <w:shd w:val="clear" w:color="000000" w:fill="FFFFFF"/>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204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PU</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Kegiatan dilakukan wahana bumi hijau atau jaringan LSM yang tergabung dalam forum WALHI, secara teratur melakukan advokasi masyarakat terkait kasus resapan air, ada pertemuan dan diskusi dengan warga. Aksi demo dan penyampaian pernyatana sikap kepada pemerintah dan masyarakat</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306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untuk WBH, proses pendampingan dilakukan dalam bentuk pelatihan pemetaan wilayah. Tujuannya mempersiapkan masyarakat memiliki keterampilan teknis dan teoritis, dengan memperkenalkan teknologi GPS, peta dasar, kompas, dll. Beberapa teori yang disampaikan; konsep pemetaan partisipatif, teknik navigasi dengan metode kompas, teknik pengukuran dan pemetaan, serta pembagian kerja kelompok lapangan</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739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Organisasi Masyarakat Adat Lokal</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Proses pendampingan pemetaan secara bertahap, dengan melibatkan masyarakat setempat, mengkomunikasikan batas2 desa. Persiapan dilakukan secara matang dan ada kesepakatan antara pihak, baru dilakukan pemetaan bersama </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 xml:space="preserve">AMAN juga melakukan pelatihan kepada masyarakat dalam penggunaan teknologi pemetaan </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 xml:space="preserve">Kegiatan ini dilakukan kerjasama dengan Walhi. </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 xml:space="preserve">Hasil pendampingan dirasa  kurang memadai. Karena dianggap ada </w:t>
            </w:r>
            <w:r w:rsidRPr="005457D9">
              <w:rPr>
                <w:rFonts w:ascii="Times New Roman" w:eastAsia="Times New Roman" w:hAnsi="Times New Roman" w:cs="Times New Roman"/>
                <w:color w:val="000000"/>
                <w:sz w:val="20"/>
                <w:szCs w:val="20"/>
                <w:lang w:eastAsia="id-ID"/>
              </w:rPr>
              <w:lastRenderedPageBreak/>
              <w:t xml:space="preserve">kendala dalam persiapan awal. Alasannya karena konflik tapal batas antara desa sangat kencang. Juga ada kendala dari pemerintah untuk memberikan pengakuan terhadap hak hak adat dan wilayah adat. </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Alasannya karena factor politik ekonomi dimana pemerintah berkepentingan menyewakan lahan perkebunan kepada investor/perusahaan. Jadi ada overlap antara kepentingan pertambangan, kepentingan konservasi, dll</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2</w:t>
            </w:r>
          </w:p>
        </w:tc>
      </w:tr>
      <w:tr w:rsidR="005457D9" w:rsidRPr="005457D9" w:rsidTr="005457D9">
        <w:trPr>
          <w:trHeight w:val="229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document yang diberikan karena ketiadaan data </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Secara kuantitatif, Teman2 LSM/NGO yang terlibat kegiatan advokasi masyarakat terkait penyimpangan prosedur dan potensi kerugian akibat perencanaan wilayah, sudah cukup memadai.  Kalau pada level provinsi, mereka sudah sangat mampu dan bisa diandalkan. Tapi kalau tingkat kabupaten, biasanya sangat kurang (kemampuannya)</w:t>
            </w:r>
          </w:p>
        </w:tc>
        <w:tc>
          <w:tcPr>
            <w:tcW w:w="1382"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102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Jurnalis</w:t>
            </w:r>
          </w:p>
        </w:tc>
        <w:tc>
          <w:tcPr>
            <w:tcW w:w="1246" w:type="dxa"/>
            <w:tcBorders>
              <w:top w:val="nil"/>
              <w:left w:val="nil"/>
              <w:bottom w:val="single" w:sz="4" w:space="0" w:color="auto"/>
              <w:right w:val="single" w:sz="4" w:space="0" w:color="auto"/>
            </w:tcBorders>
            <w:shd w:val="clear" w:color="000000" w:fill="FFFFFF"/>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silahkan di cek dikoran SUMEK (Sumatera Ekpress)</w:t>
            </w:r>
          </w:p>
        </w:tc>
        <w:tc>
          <w:tcPr>
            <w:tcW w:w="1192" w:type="dxa"/>
            <w:tcBorders>
              <w:top w:val="nil"/>
              <w:left w:val="nil"/>
              <w:bottom w:val="single" w:sz="4" w:space="0" w:color="auto"/>
              <w:right w:val="single" w:sz="4" w:space="0" w:color="auto"/>
            </w:tcBorders>
            <w:shd w:val="clear" w:color="000000" w:fill="FFFFFF"/>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melihat keberhasilan pendampingan NGO terhadap masyarakat dalam melakukan pemetaan wilayah. Kinerja LSM tidak riel dirasakan </w:t>
            </w:r>
            <w:r w:rsidRPr="005457D9">
              <w:rPr>
                <w:rFonts w:ascii="Times New Roman" w:eastAsia="Times New Roman" w:hAnsi="Times New Roman" w:cs="Times New Roman"/>
                <w:color w:val="000000"/>
                <w:sz w:val="20"/>
                <w:szCs w:val="20"/>
                <w:lang w:eastAsia="id-ID"/>
              </w:rPr>
              <w:lastRenderedPageBreak/>
              <w:t xml:space="preserve">masyarakat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2</w:t>
            </w: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r>
      <w:tr w:rsidR="005457D9" w:rsidRPr="005457D9" w:rsidTr="005457D9">
        <w:trPr>
          <w:trHeight w:val="600"/>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5457D9">
              <w:rPr>
                <w:rFonts w:ascii="Times New Roman" w:eastAsia="Times New Roman" w:hAnsi="Times New Roman" w:cs="Times New Roman"/>
                <w:b/>
                <w:bCs/>
                <w:color w:val="000000"/>
                <w:sz w:val="20"/>
                <w:szCs w:val="20"/>
                <w:lang w:eastAsia="id-ID"/>
              </w:rPr>
              <w:br/>
              <w:t xml:space="preserve">       </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300" w:type="dxa"/>
            <w:gridSpan w:val="2"/>
            <w:tcBorders>
              <w:top w:val="nil"/>
              <w:left w:val="nil"/>
              <w:bottom w:val="nil"/>
              <w:right w:val="nil"/>
            </w:tcBorders>
            <w:shd w:val="clear" w:color="auto" w:fill="auto"/>
            <w:noWrap/>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Well Informed Persons (LSM: Pengurus)</w:t>
            </w: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CIe1</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sumber dana LSM (walhi) dari partisipasi masyarakat dan itu kurang memadai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r>
      <w:tr w:rsidR="005457D9" w:rsidRPr="005457D9" w:rsidTr="005457D9">
        <w:trPr>
          <w:trHeight w:val="600"/>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5457D9">
              <w:rPr>
                <w:rFonts w:ascii="Times New Roman" w:eastAsia="Times New Roman" w:hAnsi="Times New Roman" w:cs="Times New Roman"/>
                <w:b/>
                <w:bCs/>
                <w:color w:val="000000"/>
                <w:sz w:val="20"/>
                <w:szCs w:val="20"/>
                <w:lang w:eastAsia="id-ID"/>
              </w:rPr>
              <w:br/>
              <w:t xml:space="preserve">       </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300" w:type="dxa"/>
            <w:gridSpan w:val="2"/>
            <w:tcBorders>
              <w:top w:val="nil"/>
              <w:left w:val="nil"/>
              <w:bottom w:val="nil"/>
              <w:right w:val="nil"/>
            </w:tcBorders>
            <w:shd w:val="clear" w:color="auto" w:fill="auto"/>
            <w:noWrap/>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Well Informed Persons (LSM: Pengurus)</w:t>
            </w: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CIf1</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Prosedur penyampaian hasil atau proses partisipasi</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ada mekanisme pelaporan hasil balik. Meski demikiank seringkali pelaporan balik ini diabaikan. Juga ada PIK (Pusat Info</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CIf2</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Standarisasi isi laporan hasil atau proses partisipasi</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ada standarisasi laporan, ada lembar pengaduan. Isinya deksripsi krnologi kejadian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CIf3</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Forum penyampaian hasil atau proses partisipasi</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tidakada yang mengatur penyapaian hasil atau prose partisipasi terkait mekanisme pelaporan (fieldnote: informan tidak begitu memahami subtansi pertanyaan)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CIf4</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Penetapan peserta forum penyampaian hasil atau proses partisipasi</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tidakada yang mengatur penetapan perserta forum dalam penyampaian hasil / terkait mekanisme pelaporan (fieldnote: informan tidak begitu memahami subtansi pertanyaan)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1275"/>
        </w:trPr>
        <w:tc>
          <w:tcPr>
            <w:tcW w:w="1139"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CIf5</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Mekanisme penyampaian masukan dari peserta forum</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mekanisme penyampaian masukan peserta untuk pelaporan balik hasil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4226" w:type="dxa"/>
            <w:gridSpan w:val="3"/>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Isu dalam PGA REDD+</w:t>
            </w:r>
          </w:p>
        </w:tc>
        <w:tc>
          <w:tcPr>
            <w:tcW w:w="5277" w:type="dxa"/>
            <w:gridSpan w:val="4"/>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660"/>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6659" w:type="dxa"/>
            <w:gridSpan w:val="5"/>
            <w:tcBorders>
              <w:top w:val="nil"/>
              <w:left w:val="nil"/>
              <w:bottom w:val="single" w:sz="4" w:space="0" w:color="auto"/>
              <w:right w:val="nil"/>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CIIa1</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ada aktifis LSM yang memiliki keterapilan legal drafting tapi kurang memadai, disini biasanya kami berkerjasama dengna LBH untuk penyusunan legal draft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76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pastinya tidak tahu, karena LSM banyak terlibat pada saat konsultasia publik</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76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Biro Hukum Pemda</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fieldnote; informan menyatakan tidak tahu karena keterlibatan LSM pada legal draft hanya pada saat konsultasi publik </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CIIa2</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Bukti keikutsertaan dalam pelatihan perancangan peraturan</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fiedlnote: walhi dan WBH lebih fokus ke isu advokasi dan konservasi lingkungan, kalau masalah legal draft mereka biasanya lebih ke LSM yang bidang hukum seperti LBH</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51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tahu apakah mereka punya bukti ikut pelatihan atau tidak</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153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Biro Hukum Pemda</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pelibatan LSM dalam penyusunan legal draft jadi tidaktahu bukti punya pelatihan atau tidak (fieldnote; informan tidak menguasai permasalahan, orang baru di biro hukum pemda)</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CIIa3</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Lama waktu kerja sebagai legal drafter</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Berapa lama waktu kerja yang di-miliki aktivis-LSM sebagai legal drafter?</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tahu tapi teman2 yang kerja di LSM hukum cukup menguasai materi</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51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field note; informan tidaktahu soal lama waktu kerja LSM sebagai legal draft</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 </w:t>
            </w:r>
          </w:p>
        </w:tc>
      </w:tr>
      <w:tr w:rsidR="005457D9" w:rsidRPr="005457D9" w:rsidTr="005457D9">
        <w:trPr>
          <w:trHeight w:val="153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Biro Hukum Pemda</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fiednote; informan tidak tahu dan tidak bisa menjawab terkait pertanyaan lama waktu LSM yang bekerja sebagai legal draft (informan tidak memahami pertanyaan dan masih baru di biro hukum pemda)</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r>
      <w:tr w:rsidR="005457D9" w:rsidRPr="005457D9" w:rsidTr="005457D9">
        <w:trPr>
          <w:trHeight w:val="630"/>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5457D9">
              <w:rPr>
                <w:rFonts w:ascii="Times New Roman" w:eastAsia="Times New Roman" w:hAnsi="Times New Roman" w:cs="Times New Roman"/>
                <w:b/>
                <w:bCs/>
                <w:color w:val="000000"/>
                <w:sz w:val="20"/>
                <w:szCs w:val="20"/>
                <w:lang w:eastAsia="id-ID"/>
              </w:rPr>
              <w:br/>
              <w:t xml:space="preserve">   </w:t>
            </w:r>
          </w:p>
        </w:tc>
      </w:tr>
      <w:tr w:rsidR="005457D9" w:rsidRPr="005457D9" w:rsidTr="005457D9">
        <w:trPr>
          <w:trHeight w:val="34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xml:space="preserve">Wawancara – Sumber </w:t>
            </w:r>
            <w:r w:rsidRPr="005457D9">
              <w:rPr>
                <w:rFonts w:ascii="Times New Roman" w:eastAsia="Times New Roman" w:hAnsi="Times New Roman" w:cs="Times New Roman"/>
                <w:b/>
                <w:bCs/>
                <w:color w:val="000000"/>
                <w:sz w:val="20"/>
                <w:szCs w:val="20"/>
                <w:lang w:eastAsia="id-ID"/>
              </w:rPr>
              <w:lastRenderedPageBreak/>
              <w:t>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6659" w:type="dxa"/>
            <w:gridSpan w:val="5"/>
            <w:tcBorders>
              <w:top w:val="nil"/>
              <w:left w:val="nil"/>
              <w:bottom w:val="single" w:sz="4" w:space="0" w:color="auto"/>
              <w:right w:val="nil"/>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xml:space="preserve">: Well Informed Persons (Akademisi, LSM, Pemerintah: Biro Hukum </w:t>
            </w:r>
            <w:r w:rsidRPr="005457D9">
              <w:rPr>
                <w:rFonts w:ascii="Times New Roman" w:eastAsia="Times New Roman" w:hAnsi="Times New Roman" w:cs="Times New Roman"/>
                <w:b/>
                <w:bCs/>
                <w:color w:val="000000"/>
                <w:sz w:val="20"/>
                <w:szCs w:val="20"/>
                <w:lang w:eastAsia="id-ID"/>
              </w:rPr>
              <w:lastRenderedPageBreak/>
              <w:t>Pemda Provinsi &amp; Kabupaten)</w:t>
            </w: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lastRenderedPageBreak/>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CIIb1</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ada tapi tidak tahu ada berapa jumlahnya, biasanya dari Unsri</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229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Ada 4-5 orang dari kalangan akademisi yang selama ini aktif terlibat dalam penyusunan tata ruang, mereka berasal dari Universitas Sriwijaya (Unsri), UMP (Universtias Muhammadiyah Palembang), STIPER (Sekolah Tinggi Ilmu Pertanian). Mereka dimintai masukan terkait tata ruang. Dilibatkan dalam kegiatan konsultasi publik </w:t>
            </w:r>
          </w:p>
        </w:tc>
        <w:tc>
          <w:tcPr>
            <w:tcW w:w="1382"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972"/>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Biro Hukum Pemda</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single" w:sz="4" w:space="0" w:color="auto"/>
              <w:left w:val="nil"/>
              <w:bottom w:val="single" w:sz="4" w:space="0" w:color="auto"/>
              <w:right w:val="single" w:sz="4" w:space="0" w:color="auto"/>
            </w:tcBorders>
            <w:shd w:val="clear" w:color="000000" w:fill="FFFFFF"/>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tahu berapa jumlah pastinya tapi yang jelas ada dari kalanga akademisi untuk legal drafting</w:t>
            </w:r>
          </w:p>
        </w:tc>
        <w:tc>
          <w:tcPr>
            <w:tcW w:w="1382" w:type="dxa"/>
            <w:tcBorders>
              <w:top w:val="nil"/>
              <w:left w:val="nil"/>
              <w:bottom w:val="single" w:sz="4" w:space="0" w:color="auto"/>
              <w:right w:val="single" w:sz="4" w:space="0" w:color="auto"/>
            </w:tcBorders>
            <w:shd w:val="clear" w:color="000000" w:fill="FFFFFF"/>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102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CIIb2</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Bukti keikutsertaan dalam pelatihan perancangan peraturan</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tahu apakah mereka pernah ikut pelatihan perancangan peraturan, tapi kalau mereka dilibatkan pastinya punya kapasitas</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255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Biasanya isu yang disampaikan tentang kemiskinan, yaitu bagaimana agar tata ruang yang ada tidak meminggirkan orang miskin di kawasan sekitar hutan. Isu lainnya adalah law enforcement yaitu penegakan hukum bagi aparat birokrasi terkait tata ruang. Selain itu juga perlu dibangun </w:t>
            </w:r>
            <w:r w:rsidRPr="005457D9">
              <w:rPr>
                <w:rFonts w:ascii="Times New Roman" w:eastAsia="Times New Roman" w:hAnsi="Times New Roman" w:cs="Times New Roman"/>
                <w:color w:val="000000"/>
                <w:sz w:val="20"/>
                <w:szCs w:val="20"/>
                <w:lang w:eastAsia="id-ID"/>
              </w:rPr>
              <w:lastRenderedPageBreak/>
              <w:t>kemitraan antara pemerintah dengan stakeholder lainnya (LSM, akademisi, komunitas local)</w:t>
            </w:r>
          </w:p>
        </w:tc>
        <w:tc>
          <w:tcPr>
            <w:tcW w:w="1382"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3</w:t>
            </w:r>
          </w:p>
        </w:tc>
      </w:tr>
      <w:tr w:rsidR="005457D9" w:rsidRPr="005457D9" w:rsidTr="005457D9">
        <w:trPr>
          <w:trHeight w:val="76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Biro Hukum Pemda</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single" w:sz="4" w:space="0" w:color="auto"/>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fieldnote; informan menyatakan tidak tahu tentang keikutsertaan akademisi dalam pelatihan perancangan peraturan</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51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CIIb3</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Lama waktu kerja sebagai legal drafter</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Berapa lama waktu kerja yang di-miliki akademisi sebagai legal drafter?</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tahu berapa lama pengalaman akademisi sebagai legal drafter</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51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Akademisi</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informan menyatakan tidak tahu soal brp lama waktu kerja sebagai legal draft </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51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Biro Hukum Pemda</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informan menyatakan tidak tahu soal brp lama waktu kerja sebagai legal draft </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r>
      <w:tr w:rsidR="005457D9" w:rsidRPr="005457D9" w:rsidTr="005457D9">
        <w:trPr>
          <w:trHeight w:val="720"/>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5457D9">
              <w:rPr>
                <w:rFonts w:ascii="Times New Roman" w:eastAsia="Times New Roman" w:hAnsi="Times New Roman" w:cs="Times New Roman"/>
                <w:b/>
                <w:bCs/>
                <w:color w:val="000000"/>
                <w:sz w:val="20"/>
                <w:szCs w:val="20"/>
                <w:lang w:eastAsia="id-ID"/>
              </w:rPr>
              <w:br/>
              <w:t xml:space="preserve">   </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3492" w:type="dxa"/>
            <w:gridSpan w:val="3"/>
            <w:tcBorders>
              <w:top w:val="nil"/>
              <w:left w:val="nil"/>
              <w:bottom w:val="nil"/>
              <w:right w:val="nil"/>
            </w:tcBorders>
            <w:shd w:val="clear" w:color="auto" w:fill="auto"/>
            <w:noWrap/>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Well Informed Persons (Pengurus: LSM &amp; Masyarakat Adat)</w:t>
            </w: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1050"/>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CIIc1</w:t>
            </w:r>
          </w:p>
        </w:tc>
        <w:tc>
          <w:tcPr>
            <w:tcW w:w="1478"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Jumlah LSM/jaringan LSM yang memiliki program </w:t>
            </w:r>
            <w:r w:rsidRPr="005457D9">
              <w:rPr>
                <w:rFonts w:ascii="Times New Roman" w:eastAsia="Times New Roman" w:hAnsi="Times New Roman" w:cs="Times New Roman"/>
                <w:color w:val="000000"/>
                <w:sz w:val="20"/>
                <w:szCs w:val="20"/>
                <w:lang w:eastAsia="id-ID"/>
              </w:rPr>
              <w:lastRenderedPageBreak/>
              <w:t>pemantauan pengaturan hak masyarakat adat/lokal terhadap hutan</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 xml:space="preserve">Apakah jumlah LSM/jaringan LSM yang memiliki program </w:t>
            </w:r>
            <w:r w:rsidRPr="005457D9">
              <w:rPr>
                <w:rFonts w:ascii="Times New Roman" w:eastAsia="Times New Roman" w:hAnsi="Times New Roman" w:cs="Times New Roman"/>
                <w:color w:val="000000"/>
                <w:sz w:val="20"/>
                <w:szCs w:val="20"/>
                <w:lang w:eastAsia="id-ID"/>
              </w:rPr>
              <w:lastRenderedPageBreak/>
              <w:t>pemantau-an pengaturan hak masyarakat adat/lokal terhadap hutan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walhi tidak punya progra pemantauan, kalau soal ulayat (tanah adat) ada.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724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Organisasi Masyarakat Adat Lokal</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AMAN memilik program penguatan kelembagaan masyarakat adat. AMAN menggali ulang kearifan tradisi local. Caranya dengna membangun kelembagaan adat yang kuat di tengah2 mereka. </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Kendalanya secara nasional karena pemerintah belum memberikan pengakuan dan perlindungan masyarakat adat. Sekarang ini AMAN sedang mengusulkan dalam prolegnas terkait perlindungan dan pengakukan masyarakat adat.</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 xml:space="preserve">Soal hak ulayat, masyarkat adat ingin mengelola sendiri. Dia ingin diberikan kebebasan untuk menguasai dan mengelola hak ulayat seperti hutan, sesuai kearifan local yang ada. </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 xml:space="preserve">AMAN berharap ada political will dari pemerintah terkait pengakuan dan perlindungan hak  masyarakat adat.  Pemerintah perlu memiliki mekanisme penyelesaian konflik yang terjadi di masyarakat dengan lebih mengedepankan perlindungan hak ulayat adat. </w:t>
            </w:r>
            <w:r w:rsidRPr="005457D9">
              <w:rPr>
                <w:rFonts w:ascii="Times New Roman" w:eastAsia="Times New Roman" w:hAnsi="Times New Roman" w:cs="Times New Roman"/>
                <w:color w:val="000000"/>
                <w:sz w:val="20"/>
                <w:szCs w:val="20"/>
                <w:lang w:eastAsia="id-ID"/>
              </w:rPr>
              <w:br/>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xml:space="preserve">:  d. Kode etik yang dipergunakan oleh LSM/jaringan LSM dalam </w:t>
            </w:r>
            <w:r w:rsidRPr="005457D9">
              <w:rPr>
                <w:rFonts w:ascii="Times New Roman" w:eastAsia="Times New Roman" w:hAnsi="Times New Roman" w:cs="Times New Roman"/>
                <w:b/>
                <w:bCs/>
                <w:color w:val="000000"/>
                <w:sz w:val="20"/>
                <w:szCs w:val="20"/>
                <w:lang w:eastAsia="id-ID"/>
              </w:rPr>
              <w:lastRenderedPageBreak/>
              <w:t>melakukan pemantauan</w:t>
            </w:r>
            <w:r w:rsidRPr="005457D9">
              <w:rPr>
                <w:rFonts w:ascii="Times New Roman" w:eastAsia="Times New Roman" w:hAnsi="Times New Roman" w:cs="Times New Roman"/>
                <w:b/>
                <w:bCs/>
                <w:color w:val="000000"/>
                <w:sz w:val="20"/>
                <w:szCs w:val="20"/>
                <w:lang w:eastAsia="id-ID"/>
              </w:rPr>
              <w:br/>
              <w:t xml:space="preserve">   </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lastRenderedPageBreak/>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6659" w:type="dxa"/>
            <w:gridSpan w:val="5"/>
            <w:tcBorders>
              <w:top w:val="nil"/>
              <w:left w:val="nil"/>
              <w:bottom w:val="single" w:sz="4" w:space="0" w:color="auto"/>
              <w:right w:val="nil"/>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5457D9">
              <w:rPr>
                <w:rFonts w:ascii="Times New Roman" w:eastAsia="Times New Roman" w:hAnsi="Times New Roman" w:cs="Times New Roman"/>
                <w:b/>
                <w:bCs/>
                <w:color w:val="000000"/>
                <w:sz w:val="20"/>
                <w:szCs w:val="20"/>
                <w:lang w:eastAsia="id-ID"/>
              </w:rPr>
              <w:br/>
            </w: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765"/>
        </w:trPr>
        <w:tc>
          <w:tcPr>
            <w:tcW w:w="1139" w:type="dxa"/>
            <w:vMerge w:val="restart"/>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CIId1</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Kode etik memasukkan prinsip-prinsip good governance (6 prinsip)</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Kehutanan</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informan menjawab tidak tahu soal kode etik LSM terkait pemantauan yang memasukan prinsip good governance</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153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walhi termasuk bagian dari kumpulan LSM, ada sekitar 20 LSM yang bergabung di Walhi. Ada syarat yang ketat mana LSM yang bisa masuk dan mana yang nggak. Aspek transparansi LSM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204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Organisasi Masyarakat Adat Lokal</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Secara khusus tidak ada kode etik LSM /AMAN dalam melakukan pemantauan. </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Dalam pemantauan dilakukan melalui laporan laporan yang disampaikan komunitas, karena terkadang laporan tidak sesuai fakta lapangan.</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810"/>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CIId2</w:t>
            </w:r>
          </w:p>
        </w:tc>
        <w:tc>
          <w:tcPr>
            <w:tcW w:w="1478"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Kredibilitas kode etik yang dipergunakan</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Kehutanan</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tahu soal kode etik LSM dalam melakukan pemantauan </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25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secara umum sudah cukup memadai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102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Organisasi Masyarakat Adat Lokal</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kode etik pemantauan. Semuanya dikembalikan kepada system adat (nilai yang berlaku dalam internal masyarakat adat)</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255"/>
        </w:trPr>
        <w:tc>
          <w:tcPr>
            <w:tcW w:w="113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61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5457D9">
              <w:rPr>
                <w:rFonts w:ascii="Times New Roman" w:eastAsia="Times New Roman" w:hAnsi="Times New Roman" w:cs="Times New Roman"/>
                <w:b/>
                <w:bCs/>
                <w:color w:val="000000"/>
                <w:sz w:val="20"/>
                <w:szCs w:val="20"/>
                <w:lang w:eastAsia="id-ID"/>
              </w:rPr>
              <w:br/>
              <w:t xml:space="preserve">       potensi kerugian masyarakat akibat permasalahan hak atas hutan dan </w:t>
            </w:r>
            <w:r w:rsidRPr="005457D9">
              <w:rPr>
                <w:rFonts w:ascii="Times New Roman" w:eastAsia="Times New Roman" w:hAnsi="Times New Roman" w:cs="Times New Roman"/>
                <w:b/>
                <w:bCs/>
                <w:color w:val="000000"/>
                <w:sz w:val="20"/>
                <w:szCs w:val="20"/>
                <w:lang w:eastAsia="id-ID"/>
              </w:rPr>
              <w:lastRenderedPageBreak/>
              <w:t>lahan</w:t>
            </w:r>
          </w:p>
        </w:tc>
      </w:tr>
      <w:tr w:rsidR="005457D9" w:rsidRPr="005457D9" w:rsidTr="005457D9">
        <w:trPr>
          <w:trHeight w:val="360"/>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lastRenderedPageBreak/>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6659" w:type="dxa"/>
            <w:gridSpan w:val="5"/>
            <w:tcBorders>
              <w:top w:val="nil"/>
              <w:left w:val="nil"/>
              <w:bottom w:val="single" w:sz="4" w:space="0" w:color="auto"/>
              <w:right w:val="nil"/>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1530"/>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CIIe1</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609" w:type="dxa"/>
            <w:tcBorders>
              <w:top w:val="nil"/>
              <w:left w:val="nil"/>
              <w:bottom w:val="single" w:sz="4" w:space="0" w:color="auto"/>
              <w:right w:val="single" w:sz="4" w:space="0" w:color="auto"/>
            </w:tcBorders>
            <w:shd w:val="clear" w:color="000000" w:fill="000000"/>
            <w:hideMark/>
          </w:tcPr>
          <w:p w:rsidR="005457D9" w:rsidRPr="005457D9" w:rsidRDefault="005457D9" w:rsidP="005457D9">
            <w:pPr>
              <w:spacing w:after="0" w:line="240" w:lineRule="auto"/>
              <w:rPr>
                <w:rFonts w:ascii="Times New Roman" w:eastAsia="Times New Roman" w:hAnsi="Times New Roman" w:cs="Times New Roman"/>
                <w:color w:val="FF0000"/>
                <w:sz w:val="20"/>
                <w:szCs w:val="20"/>
                <w:lang w:eastAsia="id-ID"/>
              </w:rPr>
            </w:pPr>
            <w:r w:rsidRPr="005457D9">
              <w:rPr>
                <w:rFonts w:ascii="Times New Roman" w:eastAsia="Times New Roman" w:hAnsi="Times New Roman" w:cs="Times New Roman"/>
                <w:color w:val="FF0000"/>
                <w:sz w:val="20"/>
                <w:szCs w:val="20"/>
                <w:lang w:eastAsia="id-ID"/>
              </w:rPr>
              <w:t> </w:t>
            </w:r>
          </w:p>
        </w:tc>
        <w:tc>
          <w:tcPr>
            <w:tcW w:w="1054" w:type="dxa"/>
            <w:tcBorders>
              <w:top w:val="nil"/>
              <w:left w:val="nil"/>
              <w:bottom w:val="single" w:sz="4" w:space="0" w:color="auto"/>
              <w:right w:val="single" w:sz="4" w:space="0" w:color="auto"/>
            </w:tcBorders>
            <w:shd w:val="clear" w:color="000000" w:fill="FFFFFF"/>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000000" w:fill="FFFFFF"/>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000000" w:fill="FFFFFF"/>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000000"/>
            <w:hideMark/>
          </w:tcPr>
          <w:p w:rsidR="005457D9" w:rsidRPr="005457D9" w:rsidRDefault="005457D9" w:rsidP="005457D9">
            <w:pPr>
              <w:spacing w:after="0" w:line="240" w:lineRule="auto"/>
              <w:rPr>
                <w:rFonts w:ascii="Times New Roman" w:eastAsia="Times New Roman" w:hAnsi="Times New Roman" w:cs="Times New Roman"/>
                <w:sz w:val="20"/>
                <w:szCs w:val="20"/>
                <w:lang w:eastAsia="id-ID"/>
              </w:rPr>
            </w:pPr>
            <w:r w:rsidRPr="005457D9">
              <w:rPr>
                <w:rFonts w:ascii="Times New Roman" w:eastAsia="Times New Roman" w:hAnsi="Times New Roman" w:cs="Times New Roman"/>
                <w:sz w:val="20"/>
                <w:szCs w:val="20"/>
                <w:lang w:eastAsia="id-ID"/>
              </w:rPr>
              <w:t xml:space="preserve">tidak ada dalam instrumen/tidak ada jawaban </w:t>
            </w:r>
          </w:p>
        </w:tc>
        <w:tc>
          <w:tcPr>
            <w:tcW w:w="1382" w:type="dxa"/>
            <w:tcBorders>
              <w:top w:val="nil"/>
              <w:left w:val="nil"/>
              <w:bottom w:val="single" w:sz="4" w:space="0" w:color="auto"/>
              <w:right w:val="single" w:sz="4" w:space="0" w:color="auto"/>
            </w:tcBorders>
            <w:shd w:val="clear" w:color="000000" w:fill="0000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255"/>
        </w:trPr>
        <w:tc>
          <w:tcPr>
            <w:tcW w:w="113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4226" w:type="dxa"/>
            <w:gridSpan w:val="3"/>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Isu dalam PGA REDD+</w:t>
            </w:r>
          </w:p>
        </w:tc>
        <w:tc>
          <w:tcPr>
            <w:tcW w:w="5277" w:type="dxa"/>
            <w:gridSpan w:val="4"/>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6659" w:type="dxa"/>
            <w:gridSpan w:val="5"/>
            <w:tcBorders>
              <w:top w:val="nil"/>
              <w:left w:val="nil"/>
              <w:bottom w:val="single" w:sz="4" w:space="0" w:color="auto"/>
              <w:right w:val="nil"/>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5100"/>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CIIIa1</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walhi punya program capacity building, TOT, Bimtek, TOT untuk petani, pengorganisasian masyarakat, akses kebijakan, metode efektif . Sedangkan untuk Wahana Bumi Hijau, ada programPenguatan Kapasitas dan Pengembangan Usaha Ekonomi Masyarakat Desa Tabala Jaya dalam mendukung Model Desa Konservasi (MDK) di Zona Penyangga (Buffer Zone) Taman Nasional Sembilang (TNS) Propinsi Sumatera Selatan. Kegiatan dilaksanakan pada Tahun 2009 </w:t>
            </w:r>
            <w:r w:rsidRPr="005457D9">
              <w:rPr>
                <w:rFonts w:ascii="Times New Roman" w:eastAsia="Times New Roman" w:hAnsi="Times New Roman" w:cs="Times New Roman"/>
                <w:color w:val="000000"/>
                <w:sz w:val="20"/>
                <w:szCs w:val="20"/>
                <w:lang w:eastAsia="id-ID"/>
              </w:rPr>
              <w:lastRenderedPageBreak/>
              <w:t>sampai dengan 2011 kerjasama Wahana Bumi Hijau dengan Caritas Australia, TN Sembilang, Pemkab MUBA, dan Masyarakat Lokal . juga ada program pendidikan lingkungan, pendampingan masyarakat, penelitian dan monitoring kebijakan</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3</w:t>
            </w:r>
          </w:p>
        </w:tc>
      </w:tr>
      <w:tr w:rsidR="005457D9" w:rsidRPr="005457D9" w:rsidTr="005457D9">
        <w:trPr>
          <w:trHeight w:val="255"/>
        </w:trPr>
        <w:tc>
          <w:tcPr>
            <w:tcW w:w="113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5277" w:type="dxa"/>
            <w:gridSpan w:val="4"/>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xml:space="preserve">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3492" w:type="dxa"/>
            <w:gridSpan w:val="3"/>
            <w:tcBorders>
              <w:top w:val="nil"/>
              <w:left w:val="nil"/>
              <w:bottom w:val="nil"/>
              <w:right w:val="nil"/>
            </w:tcBorders>
            <w:shd w:val="clear" w:color="auto" w:fill="auto"/>
            <w:noWrap/>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LSM (Pengurus terkait isu keterwakilan gender)</w:t>
            </w: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CIIIb1</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000000" w:fill="0000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document yang diberikan karena ketidak sediaan data</w:t>
            </w:r>
          </w:p>
        </w:tc>
        <w:tc>
          <w:tcPr>
            <w:tcW w:w="1192" w:type="dxa"/>
            <w:tcBorders>
              <w:top w:val="nil"/>
              <w:left w:val="nil"/>
              <w:bottom w:val="single" w:sz="4" w:space="0" w:color="auto"/>
              <w:right w:val="single" w:sz="4" w:space="0" w:color="auto"/>
            </w:tcBorders>
            <w:shd w:val="clear" w:color="000000" w:fill="0000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non scoring </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aspek gender masih belum menjadi pertimbangan, selama ini keterwakilan masih mengandalkan faktor keahlian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CIIIb2</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000000" w:fill="0000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document yang diberikan karena ketidak sediaan data</w:t>
            </w:r>
          </w:p>
        </w:tc>
        <w:tc>
          <w:tcPr>
            <w:tcW w:w="1192" w:type="dxa"/>
            <w:tcBorders>
              <w:top w:val="nil"/>
              <w:left w:val="nil"/>
              <w:bottom w:val="single" w:sz="4" w:space="0" w:color="auto"/>
              <w:right w:val="single" w:sz="4" w:space="0" w:color="auto"/>
            </w:tcBorders>
            <w:shd w:val="clear" w:color="000000" w:fill="0000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non scoring </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fieldnote; informan tidak memberikan jawaban secara lebih jelas dari maksud pertanyaan,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non scoring</w:t>
            </w:r>
          </w:p>
        </w:tc>
      </w:tr>
      <w:tr w:rsidR="005457D9" w:rsidRPr="005457D9" w:rsidTr="005457D9">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CIIIb3</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forum pemilihan wakil LSM dalam lembaga/forum multipihak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000000" w:fill="0000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document yang diberikan karena ketidak sediaan data</w:t>
            </w:r>
          </w:p>
        </w:tc>
        <w:tc>
          <w:tcPr>
            <w:tcW w:w="1192" w:type="dxa"/>
            <w:tcBorders>
              <w:top w:val="nil"/>
              <w:left w:val="nil"/>
              <w:bottom w:val="single" w:sz="4" w:space="0" w:color="auto"/>
              <w:right w:val="single" w:sz="4" w:space="0" w:color="auto"/>
            </w:tcBorders>
            <w:shd w:val="clear" w:color="000000" w:fill="0000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non scoring </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fieldnote; informan tidak memberikan jawaban secara lebih jelas dari maksud pertanyaan,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non scoring</w:t>
            </w:r>
          </w:p>
        </w:tc>
      </w:tr>
      <w:tr w:rsidR="005457D9" w:rsidRPr="005457D9" w:rsidTr="005457D9">
        <w:trPr>
          <w:trHeight w:val="255"/>
        </w:trPr>
        <w:tc>
          <w:tcPr>
            <w:tcW w:w="113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054"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LSM, Polisi</w:t>
            </w:r>
          </w:p>
        </w:tc>
        <w:tc>
          <w:tcPr>
            <w:tcW w:w="1246"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lastRenderedPageBreak/>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51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CIIIc1</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609"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054" w:type="dxa"/>
            <w:tcBorders>
              <w:top w:val="nil"/>
              <w:left w:val="nil"/>
              <w:bottom w:val="single" w:sz="4" w:space="0" w:color="auto"/>
              <w:right w:val="single" w:sz="4" w:space="0" w:color="auto"/>
            </w:tcBorders>
            <w:shd w:val="clear" w:color="000000" w:fill="F2DDDC"/>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Polda</w:t>
            </w:r>
          </w:p>
        </w:tc>
        <w:tc>
          <w:tcPr>
            <w:tcW w:w="5605" w:type="dxa"/>
            <w:gridSpan w:val="4"/>
            <w:tcBorders>
              <w:top w:val="single" w:sz="4" w:space="0" w:color="auto"/>
              <w:left w:val="nil"/>
              <w:bottom w:val="single" w:sz="4" w:space="0" w:color="auto"/>
              <w:right w:val="single" w:sz="4" w:space="0" w:color="000000"/>
            </w:tcBorders>
            <w:shd w:val="clear" w:color="000000" w:fill="F2DDDC"/>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Polda tidak dapat diwawancara</w:t>
            </w:r>
          </w:p>
        </w:tc>
      </w:tr>
      <w:tr w:rsidR="005457D9" w:rsidRPr="005457D9" w:rsidTr="005457D9">
        <w:trPr>
          <w:trHeight w:val="1275"/>
        </w:trPr>
        <w:tc>
          <w:tcPr>
            <w:tcW w:w="1139"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000000" w:fill="FFFFFF"/>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ada beberapa pengaduan terkait kasus korupsi di PTPN VII sumsel di Muba. Inisiatif advokasi kasus korupsi biasanya dilakukan oleh SCW (sumsel corruption watch)</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255"/>
        </w:trPr>
        <w:tc>
          <w:tcPr>
            <w:tcW w:w="113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4226" w:type="dxa"/>
            <w:gridSpan w:val="3"/>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Isu dalam PGA REDD+</w:t>
            </w:r>
          </w:p>
        </w:tc>
        <w:tc>
          <w:tcPr>
            <w:tcW w:w="5277" w:type="dxa"/>
            <w:gridSpan w:val="4"/>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3492" w:type="dxa"/>
            <w:gridSpan w:val="3"/>
            <w:tcBorders>
              <w:top w:val="nil"/>
              <w:left w:val="nil"/>
              <w:bottom w:val="nil"/>
              <w:right w:val="nil"/>
            </w:tcBorders>
            <w:shd w:val="clear" w:color="auto" w:fill="auto"/>
            <w:noWrap/>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LSM (Pengurus), Pejabat Pemberi Izin, Jurnalis</w:t>
            </w: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1275"/>
        </w:trPr>
        <w:tc>
          <w:tcPr>
            <w:tcW w:w="113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CIVa1</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609" w:type="dxa"/>
            <w:vMerge w:val="restart"/>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Kehutanan</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fieldnote; informan menyatakan tidak tahu soal jumlah LSM yang melakukan monitoring pemberian izin didalam kawasan hutan dan pengelolaan kawasan konservasi karena data itu ada dipusat</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1530"/>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kita dilibatkan dalam anggota komisi peniliaan amdal. Tapi ketika amdal sudah jadi, kita tidak dilibatkan untuk monitoringnya sehingga walhi tidak bisa melacak apakah amdal tersebut sudah jalan atau belum</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1455"/>
        </w:trPr>
        <w:tc>
          <w:tcPr>
            <w:tcW w:w="113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auto"/>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Jurnalis</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Walhi terlibat dalam pengurangan lahan gambut, tapi sampai sekarang belum keluar izinnya. Walhi juga terlibat dalam pengawasan alih fungsi serapan  air pada penggunaan </w:t>
            </w:r>
            <w:r w:rsidRPr="005457D9">
              <w:rPr>
                <w:rFonts w:ascii="Times New Roman" w:eastAsia="Times New Roman" w:hAnsi="Times New Roman" w:cs="Times New Roman"/>
                <w:color w:val="000000"/>
                <w:sz w:val="20"/>
                <w:szCs w:val="20"/>
                <w:lang w:eastAsia="id-ID"/>
              </w:rPr>
              <w:lastRenderedPageBreak/>
              <w:t>lahan komiersial, dan itu tidak berhasil sampai sekarang</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 xml:space="preserve">Adanya factor budaya di sumsel untuk tidak terlalu peduli/cuek selama urusan tersebut tidak mengganggu kepentingannya.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lastRenderedPageBreak/>
              <w:t>2</w:t>
            </w:r>
          </w:p>
        </w:tc>
      </w:tr>
      <w:tr w:rsidR="005457D9" w:rsidRPr="005457D9" w:rsidTr="005457D9">
        <w:trPr>
          <w:trHeight w:val="255"/>
        </w:trPr>
        <w:tc>
          <w:tcPr>
            <w:tcW w:w="113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5457D9" w:rsidRPr="005457D9" w:rsidTr="005457D9">
        <w:trPr>
          <w:trHeight w:val="510"/>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054"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LSM (Aktivis)</w:t>
            </w:r>
          </w:p>
        </w:tc>
        <w:tc>
          <w:tcPr>
            <w:tcW w:w="1246"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192"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2040"/>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CIVb1</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Pemahaman terhadap prinsip &amp; prosedur</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 WALHI dan WBH cukup memahami prinsp dan prosedur terkait pemberian izin pengelolana kawasan konservasi. Problemnya karena beda kepentingan masyarakat dan pemerintah terkait penyelematan hutan. Kalau kawasan itu jadi HTI maka akan ada ekosistem yang memudar</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CIVb2</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Strategi pelaksanaan monitoring</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strategi khusus terkait pelaksanana monev kecuali terkait amdal, karena ketika amdal sudah jadi kita tidak dilibatkan lagi dalam kegiatan monev</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1020"/>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CIVb3</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Bukti Keikutsertaan dalam pelatihan monitoring</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belum pernah dilibatkan dalam pelatihan terkait pengawasan amdal.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255"/>
        </w:trPr>
        <w:tc>
          <w:tcPr>
            <w:tcW w:w="113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5277" w:type="dxa"/>
            <w:gridSpan w:val="4"/>
            <w:tcBorders>
              <w:top w:val="nil"/>
              <w:left w:val="nil"/>
              <w:bottom w:val="nil"/>
              <w:right w:val="nil"/>
            </w:tcBorders>
            <w:shd w:val="clear" w:color="auto" w:fill="auto"/>
            <w:noWrap/>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Pelaksanaan peningkatan kapasitas (Pengurus LSM) dan Masyarakat Adat/Lokal (Pengurus)</w:t>
            </w:r>
            <w:r w:rsidRPr="005457D9">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lastRenderedPageBreak/>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CIVc1</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609"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tidakterlalu banyak LSMyang aktif dalam kegiatan peningkatan kapasitas masyarakat adat. Mungkin yang sering muncul ke media yaitu WBH dan Walhi</w:t>
            </w:r>
          </w:p>
        </w:tc>
        <w:tc>
          <w:tcPr>
            <w:tcW w:w="1382" w:type="dxa"/>
            <w:tcBorders>
              <w:top w:val="nil"/>
              <w:left w:val="nil"/>
              <w:bottom w:val="single" w:sz="4" w:space="0" w:color="auto"/>
              <w:right w:val="single" w:sz="4" w:space="0" w:color="auto"/>
            </w:tcBorders>
            <w:shd w:val="clear" w:color="000000" w:fill="FFFFFF"/>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1275"/>
        </w:trPr>
        <w:tc>
          <w:tcPr>
            <w:tcW w:w="1139"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Organisasi Masyarakat Adat Lokal</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program peningkatan kapasitas. Pemetaan dilakukan kepada komunitas adat yang sudah siap, dan kedua karena ada permintaan dari masyarakat adat.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1500"/>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CIVc2</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c>
          <w:tcPr>
            <w:tcW w:w="1609"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000000" w:fill="0000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documen yang diberikan karenak ketidaktersediaan data </w:t>
            </w:r>
          </w:p>
        </w:tc>
        <w:tc>
          <w:tcPr>
            <w:tcW w:w="1192" w:type="dxa"/>
            <w:tcBorders>
              <w:top w:val="nil"/>
              <w:left w:val="nil"/>
              <w:bottom w:val="single" w:sz="4" w:space="0" w:color="auto"/>
              <w:right w:val="single" w:sz="4" w:space="0" w:color="auto"/>
            </w:tcBorders>
            <w:shd w:val="clear" w:color="000000" w:fill="000000"/>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Infroman tidak tahu, meurutnya seharusnya pertanyaan ini ditujukan kepada masyarakat yang menerima pelatihan, bukan kepada informan </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r w:rsidR="005457D9" w:rsidRPr="005457D9" w:rsidTr="005457D9">
        <w:trPr>
          <w:trHeight w:val="765"/>
        </w:trPr>
        <w:tc>
          <w:tcPr>
            <w:tcW w:w="1139"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Organisasi Masyarakat Adat Lokal</w:t>
            </w:r>
          </w:p>
        </w:tc>
        <w:tc>
          <w:tcPr>
            <w:tcW w:w="1246" w:type="dxa"/>
            <w:tcBorders>
              <w:top w:val="nil"/>
              <w:left w:val="nil"/>
              <w:bottom w:val="single" w:sz="4" w:space="0" w:color="auto"/>
              <w:right w:val="single" w:sz="4" w:space="0" w:color="auto"/>
            </w:tcBorders>
            <w:shd w:val="clear" w:color="000000" w:fill="0000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documen yang diberikan karenak ketidaktersediaan data </w:t>
            </w:r>
          </w:p>
        </w:tc>
        <w:tc>
          <w:tcPr>
            <w:tcW w:w="1192" w:type="dxa"/>
            <w:tcBorders>
              <w:top w:val="nil"/>
              <w:left w:val="nil"/>
              <w:bottom w:val="single" w:sz="4" w:space="0" w:color="auto"/>
              <w:right w:val="single" w:sz="4" w:space="0" w:color="auto"/>
            </w:tcBorders>
            <w:shd w:val="clear" w:color="000000" w:fill="000000"/>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program peningkatan kapasitas kepada masyarakat adat</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255"/>
        </w:trPr>
        <w:tc>
          <w:tcPr>
            <w:tcW w:w="113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Isu dalam PGA REDD+</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300"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xml:space="preserve">: V. Pengendalian dan Penegakan Hukum  </w:t>
            </w: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5277" w:type="dxa"/>
            <w:gridSpan w:val="4"/>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300" w:type="dxa"/>
            <w:gridSpan w:val="2"/>
            <w:tcBorders>
              <w:top w:val="nil"/>
              <w:left w:val="nil"/>
              <w:bottom w:val="nil"/>
              <w:right w:val="nil"/>
            </w:tcBorders>
            <w:shd w:val="clear" w:color="auto" w:fill="auto"/>
            <w:noWrap/>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Pelaksanaan LSM, Masyarakat pelapor</w:t>
            </w:r>
            <w:r w:rsidRPr="005457D9">
              <w:rPr>
                <w:rFonts w:ascii="Times New Roman" w:eastAsia="Times New Roman" w:hAnsi="Times New Roman" w:cs="Times New Roman"/>
                <w:b/>
                <w:bCs/>
                <w:color w:val="000000"/>
                <w:sz w:val="20"/>
                <w:szCs w:val="20"/>
                <w:lang w:eastAsia="id-ID"/>
              </w:rPr>
              <w:br/>
            </w: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CVa1</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LSM yang menerima pe-ngaduan masyarakat terkait ma-salah kehutanan</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Berapa jumlah pengaduan ma-syarakat yang diterima LSM?</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ada 2-5 kasus perbulan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1785"/>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CVa2</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Isu pengaduan: </w:t>
            </w:r>
            <w:r w:rsidRPr="005457D9">
              <w:rPr>
                <w:rFonts w:ascii="Times New Roman" w:eastAsia="Times New Roman" w:hAnsi="Times New Roman" w:cs="Times New Roman"/>
                <w:color w:val="000000"/>
                <w:sz w:val="20"/>
                <w:szCs w:val="20"/>
                <w:lang w:eastAsia="id-ID"/>
              </w:rPr>
              <w:br/>
              <w:t xml:space="preserve">a) Korupsi &amp; Kejahatan Kehutanan, </w:t>
            </w:r>
            <w:r w:rsidRPr="005457D9">
              <w:rPr>
                <w:rFonts w:ascii="Times New Roman" w:eastAsia="Times New Roman" w:hAnsi="Times New Roman" w:cs="Times New Roman"/>
                <w:color w:val="000000"/>
                <w:sz w:val="20"/>
                <w:szCs w:val="20"/>
                <w:lang w:eastAsia="id-ID"/>
              </w:rPr>
              <w:br/>
              <w:t xml:space="preserve">b) Perencanaan, </w:t>
            </w:r>
            <w:r w:rsidRPr="005457D9">
              <w:rPr>
                <w:rFonts w:ascii="Times New Roman" w:eastAsia="Times New Roman" w:hAnsi="Times New Roman" w:cs="Times New Roman"/>
                <w:color w:val="000000"/>
                <w:sz w:val="20"/>
                <w:szCs w:val="20"/>
                <w:lang w:eastAsia="id-ID"/>
              </w:rPr>
              <w:br/>
              <w:t>c) Hak &amp; Pengelolaan hutan &amp; lahan gambut</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hak dan pengelolaan hutan lahan gambut, biasanya kasus yang didampingi untuk luas hutan diatas 10 hektar</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CVa3</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SOP penerimaan pengaduan</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SOP penerimaan pengaduan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walhi dan WB tidak ada SOP khusus untuk penerimaan pengaduan semuanya direspon tapi ada juga yang gak serius dan terkadang memecah belah, untuk menghadapi itu udah kelihatan..</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510"/>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CVa4</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Staf yang khusus ditugaskan menerima pengaduan</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SOP penerimaan pengaduan sudah memadai?</w:t>
            </w:r>
          </w:p>
        </w:tc>
        <w:tc>
          <w:tcPr>
            <w:tcW w:w="1054"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staff khusus yang ditugaskan untuk penerimaan pengaduan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255"/>
        </w:trPr>
        <w:tc>
          <w:tcPr>
            <w:tcW w:w="113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Isu dalam PGA REDD+</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300"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VI. Infrastruktur REDD+</w:t>
            </w: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5277" w:type="dxa"/>
            <w:gridSpan w:val="4"/>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300" w:type="dxa"/>
            <w:gridSpan w:val="2"/>
            <w:tcBorders>
              <w:top w:val="nil"/>
              <w:left w:val="nil"/>
              <w:bottom w:val="nil"/>
              <w:right w:val="nil"/>
            </w:tcBorders>
            <w:shd w:val="clear" w:color="auto" w:fill="auto"/>
            <w:noWrap/>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LSM (Pengurus), Satgas REDD+</w:t>
            </w:r>
            <w:r w:rsidRPr="005457D9">
              <w:rPr>
                <w:rFonts w:ascii="Times New Roman" w:eastAsia="Times New Roman" w:hAnsi="Times New Roman" w:cs="Times New Roman"/>
                <w:b/>
                <w:bCs/>
                <w:color w:val="000000"/>
                <w:sz w:val="20"/>
                <w:szCs w:val="20"/>
                <w:lang w:eastAsia="id-ID"/>
              </w:rPr>
              <w:br/>
            </w: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255"/>
        </w:trPr>
        <w:tc>
          <w:tcPr>
            <w:tcW w:w="1139"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CVIa1</w:t>
            </w:r>
          </w:p>
        </w:tc>
        <w:tc>
          <w:tcPr>
            <w:tcW w:w="1478"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Jumlah LSM yang melakukan monitoring terhadap persiapan dan pelaksanaan REDD+</w:t>
            </w:r>
          </w:p>
        </w:tc>
        <w:tc>
          <w:tcPr>
            <w:tcW w:w="1609" w:type="dxa"/>
            <w:vMerge w:val="restart"/>
            <w:tcBorders>
              <w:top w:val="nil"/>
              <w:left w:val="single" w:sz="4" w:space="0" w:color="auto"/>
              <w:bottom w:val="single" w:sz="4" w:space="0" w:color="000000"/>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Satgas REDD+</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lSM yang terlibat dalam REDD</w:t>
            </w:r>
          </w:p>
        </w:tc>
        <w:tc>
          <w:tcPr>
            <w:tcW w:w="138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1080"/>
        </w:trPr>
        <w:tc>
          <w:tcPr>
            <w:tcW w:w="1139"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609" w:type="dxa"/>
            <w:vMerge/>
            <w:tcBorders>
              <w:top w:val="nil"/>
              <w:left w:val="single" w:sz="4" w:space="0" w:color="auto"/>
              <w:bottom w:val="single" w:sz="4" w:space="0" w:color="000000"/>
              <w:right w:val="single" w:sz="4" w:space="0" w:color="auto"/>
            </w:tcBorders>
            <w:vAlign w:val="center"/>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sejak awal Walhi menolak keberadaan REDD+ di Sumsel. Untuk WBH pernah menjadi anggota tim kerjasama proyek provinsi  percontohan REDD dengan Norwegia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255"/>
        </w:trPr>
        <w:tc>
          <w:tcPr>
            <w:tcW w:w="113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6659" w:type="dxa"/>
            <w:gridSpan w:val="5"/>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Wawancara – Sumber informasi</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300" w:type="dxa"/>
            <w:gridSpan w:val="2"/>
            <w:tcBorders>
              <w:top w:val="nil"/>
              <w:left w:val="nil"/>
              <w:bottom w:val="nil"/>
              <w:right w:val="nil"/>
            </w:tcBorders>
            <w:shd w:val="clear" w:color="auto" w:fill="auto"/>
            <w:noWrap/>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LSM (Pengurus)</w:t>
            </w: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1275"/>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CVIb1</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Keikutsertaan dalam pelatihan</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aktivis LSM memiliki bukti keikutsertaan dalam pelatihan?</w:t>
            </w: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LSM walhi sejak awal sudah menolak keberadaan REDD, ada WBH yang pernah anggota provinsikerjasamaREDD antara pemerintah norwegia dengan provinsi sumsel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CVIb2</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Pemahaman mengenai REDD+</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pemahaman aktivis LSM mengenai REDD+ sudah memadai?</w:t>
            </w: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REDD sudah cukup dipahami oleh temen2 LSM, tapi itu bukar berarti LSM walhi akan mendukung REDD</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765"/>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CVIb3</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Pemahaman terhadap prinsip &amp; prosedur</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pemahaman aktivis LSM terhadap prinsip &amp; prosedur sudah memadai?</w:t>
            </w: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LSM tidak semuanya memahami REDD, ada sebagian yang paham tapi tetap tidak mendukung REDD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510"/>
        </w:trPr>
        <w:tc>
          <w:tcPr>
            <w:tcW w:w="1139" w:type="dxa"/>
            <w:tcBorders>
              <w:top w:val="nil"/>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CVIb4</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Strategi pelaksanaan monitoring</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strategi pelaksanaan moni-toring sudah memadai?</w:t>
            </w: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LSM</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ada strategi monitoring karena tidak terlibat dalamREDD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r>
      <w:tr w:rsidR="005457D9" w:rsidRPr="005457D9" w:rsidTr="005457D9">
        <w:trPr>
          <w:trHeight w:val="255"/>
        </w:trPr>
        <w:tc>
          <w:tcPr>
            <w:tcW w:w="113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478" w:type="dxa"/>
            <w:tcBorders>
              <w:top w:val="nil"/>
              <w:left w:val="nil"/>
              <w:bottom w:val="nil"/>
              <w:right w:val="nil"/>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609"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054"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246"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c>
          <w:tcPr>
            <w:tcW w:w="1785" w:type="dxa"/>
            <w:tcBorders>
              <w:top w:val="nil"/>
              <w:left w:val="nil"/>
              <w:bottom w:val="nil"/>
              <w:right w:val="nil"/>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113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Indikator</w:t>
            </w:r>
          </w:p>
        </w:tc>
        <w:tc>
          <w:tcPr>
            <w:tcW w:w="1478"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p>
        </w:tc>
        <w:tc>
          <w:tcPr>
            <w:tcW w:w="5277" w:type="dxa"/>
            <w:gridSpan w:val="4"/>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p>
        </w:tc>
      </w:tr>
      <w:tr w:rsidR="005457D9" w:rsidRPr="005457D9" w:rsidTr="005457D9">
        <w:trPr>
          <w:trHeight w:val="255"/>
        </w:trPr>
        <w:tc>
          <w:tcPr>
            <w:tcW w:w="2617" w:type="dxa"/>
            <w:gridSpan w:val="2"/>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609"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2300" w:type="dxa"/>
            <w:gridSpan w:val="2"/>
            <w:tcBorders>
              <w:top w:val="nil"/>
              <w:left w:val="nil"/>
              <w:bottom w:val="nil"/>
              <w:right w:val="nil"/>
            </w:tcBorders>
            <w:shd w:val="clear" w:color="auto" w:fill="auto"/>
            <w:noWrap/>
            <w:hideMark/>
          </w:tcPr>
          <w:p w:rsidR="005457D9" w:rsidRPr="005457D9" w:rsidRDefault="005457D9" w:rsidP="005457D9">
            <w:pPr>
              <w:spacing w:after="240" w:line="240" w:lineRule="auto"/>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 Artikel/kolom dalam Media Cetak</w:t>
            </w:r>
          </w:p>
        </w:tc>
        <w:tc>
          <w:tcPr>
            <w:tcW w:w="1192"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785" w:type="dxa"/>
            <w:tcBorders>
              <w:top w:val="nil"/>
              <w:left w:val="nil"/>
              <w:bottom w:val="nil"/>
              <w:right w:val="nil"/>
            </w:tcBorders>
            <w:shd w:val="clear" w:color="auto" w:fill="auto"/>
            <w:noWrap/>
            <w:hideMark/>
          </w:tcPr>
          <w:p w:rsidR="005457D9" w:rsidRPr="005457D9" w:rsidRDefault="005457D9" w:rsidP="005457D9">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p>
        </w:tc>
      </w:tr>
      <w:tr w:rsidR="005457D9" w:rsidRPr="005457D9" w:rsidTr="005457D9">
        <w:trPr>
          <w:trHeight w:val="510"/>
        </w:trPr>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Kode</w:t>
            </w:r>
          </w:p>
        </w:tc>
        <w:tc>
          <w:tcPr>
            <w:tcW w:w="1478"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Panduan Analisis Dokumen</w:t>
            </w:r>
          </w:p>
        </w:tc>
        <w:tc>
          <w:tcPr>
            <w:tcW w:w="1609"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Pertanyaan Wawancara</w:t>
            </w:r>
          </w:p>
        </w:tc>
        <w:tc>
          <w:tcPr>
            <w:tcW w:w="1054"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Sumber Data</w:t>
            </w:r>
          </w:p>
        </w:tc>
        <w:tc>
          <w:tcPr>
            <w:tcW w:w="1246"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Dokumen</w:t>
            </w:r>
          </w:p>
        </w:tc>
        <w:tc>
          <w:tcPr>
            <w:tcW w:w="119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Dokumen</w:t>
            </w:r>
          </w:p>
        </w:tc>
        <w:tc>
          <w:tcPr>
            <w:tcW w:w="1785"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b/>
                <w:bCs/>
                <w:color w:val="000000"/>
                <w:sz w:val="20"/>
                <w:szCs w:val="20"/>
                <w:lang w:eastAsia="id-ID"/>
              </w:rPr>
            </w:pPr>
            <w:r w:rsidRPr="005457D9">
              <w:rPr>
                <w:rFonts w:ascii="Times New Roman" w:eastAsia="Times New Roman" w:hAnsi="Times New Roman" w:cs="Times New Roman"/>
                <w:b/>
                <w:bCs/>
                <w:color w:val="000000"/>
                <w:sz w:val="20"/>
                <w:szCs w:val="20"/>
                <w:lang w:eastAsia="id-ID"/>
              </w:rPr>
              <w:t>Kategori Data Wawancara</w:t>
            </w:r>
          </w:p>
        </w:tc>
      </w:tr>
      <w:tr w:rsidR="005457D9" w:rsidRPr="005457D9" w:rsidTr="005457D9">
        <w:trPr>
          <w:trHeight w:val="2040"/>
        </w:trPr>
        <w:tc>
          <w:tcPr>
            <w:tcW w:w="1139"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CVIc1</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Cakupan berita mengenai persiapan atau pelaksanaan REDD+ </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cakupan berita mengenai persiapan atau pelaksanaan REDD+ sudah memadai?</w:t>
            </w: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Jurnalis</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24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Tidak banyak orang yang memahami isu REDD kecuali ada event. </w:t>
            </w:r>
            <w:r w:rsidRPr="005457D9">
              <w:rPr>
                <w:rFonts w:ascii="Times New Roman" w:eastAsia="Times New Roman" w:hAnsi="Times New Roman" w:cs="Times New Roman"/>
                <w:color w:val="000000"/>
                <w:sz w:val="20"/>
                <w:szCs w:val="20"/>
                <w:lang w:eastAsia="id-ID"/>
              </w:rPr>
              <w:br/>
            </w:r>
            <w:r w:rsidRPr="005457D9">
              <w:rPr>
                <w:rFonts w:ascii="Times New Roman" w:eastAsia="Times New Roman" w:hAnsi="Times New Roman" w:cs="Times New Roman"/>
                <w:color w:val="000000"/>
                <w:sz w:val="20"/>
                <w:szCs w:val="20"/>
                <w:lang w:eastAsia="id-ID"/>
              </w:rPr>
              <w:br/>
              <w:t>Untuk opini media terkait tata kelola hutan, ada yang kiriman orang ada yang order, dan itu sumbernya dari JPNN</w:t>
            </w:r>
          </w:p>
        </w:tc>
        <w:tc>
          <w:tcPr>
            <w:tcW w:w="1382" w:type="dxa"/>
            <w:tcBorders>
              <w:top w:val="nil"/>
              <w:left w:val="nil"/>
              <w:bottom w:val="single" w:sz="4" w:space="0" w:color="auto"/>
              <w:right w:val="single" w:sz="4" w:space="0" w:color="auto"/>
            </w:tcBorders>
            <w:shd w:val="clear" w:color="000000" w:fill="FFFFFF"/>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2550"/>
        </w:trPr>
        <w:tc>
          <w:tcPr>
            <w:tcW w:w="1139"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CVIc2</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Jurnalis</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xml:space="preserve">Secara langsung terkait ReDD tidak ada, tapi sumex pernah mengadakan liputan feutres tentang masyarakat suku terasing yaitu masyarakat kubu sungai lilin di wilayah sumsel. Mereka selama ini tidak banyak diurus oleh Pemda,. Melihatnya lebih dari sisi social kemanusiaan. Liputan ini dilakukan karena diajak oleh perusahaan (bagian dari CSR) jadi tidak terkait dengan REDD </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2</w:t>
            </w:r>
          </w:p>
        </w:tc>
      </w:tr>
      <w:tr w:rsidR="005457D9" w:rsidRPr="005457D9" w:rsidTr="005457D9">
        <w:trPr>
          <w:trHeight w:val="765"/>
        </w:trPr>
        <w:tc>
          <w:tcPr>
            <w:tcW w:w="1139"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CVIc3</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Posisi berita (letak halaman pemberitaan)</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posisi berita (letak halaman pemberitaan) sudah strategis?</w:t>
            </w: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Jurnalis</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Pemberitaan tentang suku terasing kubu sungai lilin masuk di halaman utama (depan) dalam model features.</w:t>
            </w:r>
          </w:p>
        </w:tc>
        <w:tc>
          <w:tcPr>
            <w:tcW w:w="1382"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3</w:t>
            </w:r>
          </w:p>
        </w:tc>
      </w:tr>
      <w:tr w:rsidR="005457D9" w:rsidRPr="005457D9" w:rsidTr="005457D9">
        <w:trPr>
          <w:trHeight w:val="1020"/>
        </w:trPr>
        <w:tc>
          <w:tcPr>
            <w:tcW w:w="1139" w:type="dxa"/>
            <w:tcBorders>
              <w:top w:val="nil"/>
              <w:left w:val="single" w:sz="4" w:space="0" w:color="auto"/>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CVIc4</w:t>
            </w:r>
          </w:p>
        </w:tc>
        <w:tc>
          <w:tcPr>
            <w:tcW w:w="1478"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Posisi media dalam pemberitaan</w:t>
            </w:r>
          </w:p>
        </w:tc>
        <w:tc>
          <w:tcPr>
            <w:tcW w:w="1609"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054" w:type="dxa"/>
            <w:tcBorders>
              <w:top w:val="nil"/>
              <w:left w:val="nil"/>
              <w:bottom w:val="single" w:sz="4" w:space="0" w:color="auto"/>
              <w:right w:val="single" w:sz="4" w:space="0" w:color="auto"/>
            </w:tcBorders>
            <w:shd w:val="clear" w:color="auto" w:fill="auto"/>
            <w:noWrap/>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Jurnalis</w:t>
            </w:r>
          </w:p>
        </w:tc>
        <w:tc>
          <w:tcPr>
            <w:tcW w:w="1246"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Tidak ada Dokumen</w:t>
            </w:r>
          </w:p>
        </w:tc>
        <w:tc>
          <w:tcPr>
            <w:tcW w:w="1192" w:type="dxa"/>
            <w:tcBorders>
              <w:top w:val="nil"/>
              <w:left w:val="nil"/>
              <w:bottom w:val="single" w:sz="4" w:space="0" w:color="auto"/>
              <w:right w:val="single" w:sz="4" w:space="0" w:color="auto"/>
            </w:tcBorders>
            <w:shd w:val="clear" w:color="auto" w:fill="auto"/>
            <w:hideMark/>
          </w:tcPr>
          <w:p w:rsidR="005457D9" w:rsidRPr="005457D9" w:rsidRDefault="005457D9" w:rsidP="005457D9">
            <w:pPr>
              <w:spacing w:after="0" w:line="240" w:lineRule="auto"/>
              <w:jc w:val="center"/>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1</w:t>
            </w:r>
          </w:p>
        </w:tc>
        <w:tc>
          <w:tcPr>
            <w:tcW w:w="1785" w:type="dxa"/>
            <w:tcBorders>
              <w:top w:val="nil"/>
              <w:left w:val="nil"/>
              <w:bottom w:val="single" w:sz="4" w:space="0" w:color="auto"/>
              <w:right w:val="single" w:sz="4" w:space="0" w:color="auto"/>
            </w:tcBorders>
            <w:shd w:val="clear" w:color="000000" w:fill="FFFF00"/>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soal penilaian posisi media dalam pemberitaan mendukung pelaksanaan REDD, informan mempersilahkan untuk menilai sendiri</w:t>
            </w:r>
          </w:p>
        </w:tc>
        <w:tc>
          <w:tcPr>
            <w:tcW w:w="1382" w:type="dxa"/>
            <w:tcBorders>
              <w:top w:val="nil"/>
              <w:left w:val="nil"/>
              <w:bottom w:val="single" w:sz="4" w:space="0" w:color="auto"/>
              <w:right w:val="single" w:sz="4" w:space="0" w:color="auto"/>
            </w:tcBorders>
            <w:shd w:val="clear" w:color="000000" w:fill="FFFF00"/>
            <w:noWrap/>
            <w:hideMark/>
          </w:tcPr>
          <w:p w:rsidR="005457D9" w:rsidRPr="005457D9" w:rsidRDefault="005457D9" w:rsidP="005457D9">
            <w:pPr>
              <w:spacing w:after="0" w:line="240" w:lineRule="auto"/>
              <w:rPr>
                <w:rFonts w:ascii="Times New Roman" w:eastAsia="Times New Roman" w:hAnsi="Times New Roman" w:cs="Times New Roman"/>
                <w:color w:val="000000"/>
                <w:sz w:val="20"/>
                <w:szCs w:val="20"/>
                <w:lang w:eastAsia="id-ID"/>
              </w:rPr>
            </w:pPr>
            <w:r w:rsidRPr="005457D9">
              <w:rPr>
                <w:rFonts w:ascii="Times New Roman" w:eastAsia="Times New Roman" w:hAnsi="Times New Roman" w:cs="Times New Roman"/>
                <w:color w:val="000000"/>
                <w:sz w:val="20"/>
                <w:szCs w:val="20"/>
                <w:lang w:eastAsia="id-ID"/>
              </w:rPr>
              <w:t> </w:t>
            </w:r>
          </w:p>
        </w:tc>
      </w:tr>
    </w:tbl>
    <w:p w:rsidR="005457D9" w:rsidRDefault="005457D9"/>
    <w:sectPr w:rsidR="005457D9"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457D9"/>
    <w:rsid w:val="005D2D3D"/>
    <w:rsid w:val="006E5970"/>
    <w:rsid w:val="009F3E98"/>
    <w:rsid w:val="00A91768"/>
    <w:rsid w:val="00BB5203"/>
    <w:rsid w:val="00D74DB4"/>
    <w:rsid w:val="00DC085C"/>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607852721">
      <w:bodyDiv w:val="1"/>
      <w:marLeft w:val="0"/>
      <w:marRight w:val="0"/>
      <w:marTop w:val="0"/>
      <w:marBottom w:val="0"/>
      <w:divBdr>
        <w:top w:val="none" w:sz="0" w:space="0" w:color="auto"/>
        <w:left w:val="none" w:sz="0" w:space="0" w:color="auto"/>
        <w:bottom w:val="none" w:sz="0" w:space="0" w:color="auto"/>
        <w:right w:val="none" w:sz="0" w:space="0" w:color="auto"/>
      </w:divBdr>
    </w:div>
    <w:div w:id="134035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26</Pages>
  <Words>6487</Words>
  <Characters>36981</Characters>
  <Application>Microsoft Office Word</Application>
  <DocSecurity>0</DocSecurity>
  <Lines>308</Lines>
  <Paragraphs>86</Paragraphs>
  <ScaleCrop>false</ScaleCrop>
  <Company/>
  <LinksUpToDate>false</LinksUpToDate>
  <CharactersWithSpaces>43382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2012-10-16T10:49:00Z</dcterms:modified>
</cp:coreProperties>
</file>